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D7F44" w14:textId="6947050F" w:rsidR="00BB02BC" w:rsidRPr="008E31DC" w:rsidRDefault="006A06C9" w:rsidP="00BB02BC">
      <w:pPr>
        <w:spacing w:after="0" w:line="360" w:lineRule="auto"/>
        <w:rPr>
          <w:rFonts w:ascii="Arial" w:hAnsi="Arial" w:cs="Arial"/>
        </w:rPr>
      </w:pPr>
      <w:r>
        <w:rPr>
          <w:noProof/>
        </w:rPr>
        <w:drawing>
          <wp:anchor distT="0" distB="0" distL="114300" distR="114300" simplePos="0" relativeHeight="251661312" behindDoc="0" locked="0" layoutInCell="1" allowOverlap="1" wp14:anchorId="3D2B4203" wp14:editId="06AF3BE3">
            <wp:simplePos x="0" y="0"/>
            <wp:positionH relativeFrom="column">
              <wp:posOffset>-1065530</wp:posOffset>
            </wp:positionH>
            <wp:positionV relativeFrom="page">
              <wp:posOffset>-6985</wp:posOffset>
            </wp:positionV>
            <wp:extent cx="8089265" cy="10869295"/>
            <wp:effectExtent l="0" t="0" r="6985" b="8255"/>
            <wp:wrapTopAndBottom/>
            <wp:docPr id="17032078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89265" cy="10869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B84F69" w14:textId="1438FCCD" w:rsidR="00BB02BC" w:rsidRPr="008E31DC" w:rsidRDefault="00BB02BC" w:rsidP="00BB02BC">
      <w:pPr>
        <w:spacing w:after="0" w:line="360" w:lineRule="auto"/>
        <w:rPr>
          <w:rFonts w:ascii="Arial" w:hAnsi="Arial" w:cs="Arial"/>
        </w:rPr>
      </w:pPr>
    </w:p>
    <w:sdt>
      <w:sdtPr>
        <w:rPr>
          <w:rFonts w:ascii="Times New Roman" w:eastAsia="Times New Roman" w:hAnsi="Times New Roman" w:cs="Times New Roman"/>
          <w:color w:val="auto"/>
          <w:sz w:val="24"/>
          <w:szCs w:val="24"/>
          <w:lang w:val="es-ES" w:eastAsia="en-US"/>
        </w:rPr>
        <w:id w:val="-372930757"/>
        <w:docPartObj>
          <w:docPartGallery w:val="Table of Contents"/>
          <w:docPartUnique/>
        </w:docPartObj>
      </w:sdtPr>
      <w:sdtEndPr>
        <w:rPr>
          <w:rFonts w:ascii="Calibri" w:hAnsi="Calibri"/>
          <w:b/>
          <w:bCs/>
          <w:sz w:val="22"/>
          <w:szCs w:val="22"/>
        </w:rPr>
      </w:sdtEndPr>
      <w:sdtContent>
        <w:p w14:paraId="6BF256F2" w14:textId="726DAF17" w:rsidR="003161FE" w:rsidRPr="003161FE" w:rsidRDefault="003161FE">
          <w:pPr>
            <w:pStyle w:val="TtuloTDC"/>
            <w:rPr>
              <w:rFonts w:ascii="Times New Roman" w:hAnsi="Times New Roman" w:cs="Times New Roman"/>
              <w:b/>
              <w:bCs/>
              <w:sz w:val="36"/>
              <w:szCs w:val="36"/>
            </w:rPr>
          </w:pPr>
          <w:r w:rsidRPr="003161FE">
            <w:rPr>
              <w:rFonts w:ascii="Times New Roman" w:hAnsi="Times New Roman" w:cs="Times New Roman"/>
              <w:b/>
              <w:bCs/>
              <w:sz w:val="36"/>
              <w:szCs w:val="36"/>
              <w:lang w:val="es-ES"/>
            </w:rPr>
            <w:t>Contenido</w:t>
          </w:r>
        </w:p>
        <w:p w14:paraId="7A3BB45D" w14:textId="4F2700B0"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r w:rsidRPr="003161FE">
            <w:rPr>
              <w:rFonts w:ascii="Times New Roman" w:hAnsi="Times New Roman"/>
              <w:sz w:val="24"/>
              <w:szCs w:val="24"/>
            </w:rPr>
            <w:fldChar w:fldCharType="begin"/>
          </w:r>
          <w:r w:rsidRPr="003161FE">
            <w:rPr>
              <w:rFonts w:ascii="Times New Roman" w:hAnsi="Times New Roman"/>
              <w:sz w:val="24"/>
              <w:szCs w:val="24"/>
            </w:rPr>
            <w:instrText xml:space="preserve"> TOC \o "1-3" \h \z \u </w:instrText>
          </w:r>
          <w:r w:rsidRPr="003161FE">
            <w:rPr>
              <w:rFonts w:ascii="Times New Roman" w:hAnsi="Times New Roman"/>
              <w:sz w:val="24"/>
              <w:szCs w:val="24"/>
            </w:rPr>
            <w:fldChar w:fldCharType="separate"/>
          </w:r>
          <w:hyperlink w:anchor="_Toc226973069" w:history="1">
            <w:r w:rsidRPr="003161FE">
              <w:rPr>
                <w:rStyle w:val="Hipervnculo"/>
                <w:rFonts w:ascii="Times New Roman" w:hAnsi="Times New Roman"/>
                <w:b/>
                <w:bCs/>
                <w:noProof/>
                <w:sz w:val="24"/>
                <w:szCs w:val="24"/>
              </w:rPr>
              <w:t>1.</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INTRODUCCIÓN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_Toc226973069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3</w:t>
            </w:r>
            <w:r w:rsidRPr="003161FE">
              <w:rPr>
                <w:rFonts w:ascii="Times New Roman" w:hAnsi="Times New Roman"/>
                <w:noProof/>
                <w:webHidden/>
                <w:sz w:val="24"/>
                <w:szCs w:val="24"/>
              </w:rPr>
              <w:fldChar w:fldCharType="end"/>
            </w:r>
          </w:hyperlink>
        </w:p>
        <w:p w14:paraId="5F8341A1" w14:textId="3F1CEF52"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70" w:history="1">
            <w:r w:rsidRPr="003161FE">
              <w:rPr>
                <w:rStyle w:val="Hipervnculo"/>
                <w:rFonts w:ascii="Times New Roman" w:hAnsi="Times New Roman"/>
                <w:b/>
                <w:bCs/>
                <w:noProof/>
                <w:sz w:val="24"/>
                <w:szCs w:val="24"/>
              </w:rPr>
              <w:t>2.</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RESUMEN EJECUTIVO</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_Toc226973070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4</w:t>
            </w:r>
            <w:r w:rsidRPr="003161FE">
              <w:rPr>
                <w:rFonts w:ascii="Times New Roman" w:hAnsi="Times New Roman"/>
                <w:noProof/>
                <w:webHidden/>
                <w:sz w:val="24"/>
                <w:szCs w:val="24"/>
              </w:rPr>
              <w:fldChar w:fldCharType="end"/>
            </w:r>
          </w:hyperlink>
        </w:p>
        <w:p w14:paraId="4979A26B" w14:textId="6BEDB5C6"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71" w:history="1">
            <w:r w:rsidRPr="003161FE">
              <w:rPr>
                <w:rStyle w:val="Hipervnculo"/>
                <w:rFonts w:ascii="Times New Roman" w:hAnsi="Times New Roman"/>
                <w:b/>
                <w:bCs/>
                <w:noProof/>
                <w:sz w:val="24"/>
                <w:szCs w:val="24"/>
              </w:rPr>
              <w:t>3.</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MARCO ESTRATÉGICO INSTITUCIONAL</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_Toc226973071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5</w:t>
            </w:r>
            <w:r w:rsidRPr="003161FE">
              <w:rPr>
                <w:rFonts w:ascii="Times New Roman" w:hAnsi="Times New Roman"/>
                <w:noProof/>
                <w:webHidden/>
                <w:sz w:val="24"/>
                <w:szCs w:val="24"/>
              </w:rPr>
              <w:fldChar w:fldCharType="end"/>
            </w:r>
          </w:hyperlink>
        </w:p>
        <w:p w14:paraId="5A58B00C" w14:textId="16CBBE30" w:rsidR="003161FE" w:rsidRPr="003161FE" w:rsidRDefault="003161FE">
          <w:pPr>
            <w:pStyle w:val="TDC2"/>
            <w:tabs>
              <w:tab w:val="right" w:leader="dot" w:pos="8494"/>
            </w:tabs>
            <w:rPr>
              <w:rFonts w:ascii="Times New Roman" w:eastAsiaTheme="minorEastAsia" w:hAnsi="Times New Roman"/>
              <w:noProof/>
              <w:kern w:val="2"/>
              <w:sz w:val="24"/>
              <w:szCs w:val="24"/>
              <w:lang w:eastAsia="es-DO"/>
              <w14:ligatures w14:val="standardContextual"/>
            </w:rPr>
          </w:pPr>
          <w:hyperlink w:anchor="_Toc226973072" w:history="1">
            <w:r w:rsidRPr="003161FE">
              <w:rPr>
                <w:rStyle w:val="Hipervnculo"/>
                <w:rFonts w:ascii="Times New Roman" w:hAnsi="Times New Roman"/>
                <w:b/>
                <w:bCs/>
                <w:noProof/>
                <w:sz w:val="24"/>
                <w:szCs w:val="24"/>
              </w:rPr>
              <w:t>Misión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_Toc226973072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5</w:t>
            </w:r>
            <w:r w:rsidRPr="003161FE">
              <w:rPr>
                <w:rFonts w:ascii="Times New Roman" w:hAnsi="Times New Roman"/>
                <w:noProof/>
                <w:webHidden/>
                <w:sz w:val="24"/>
                <w:szCs w:val="24"/>
              </w:rPr>
              <w:fldChar w:fldCharType="end"/>
            </w:r>
          </w:hyperlink>
        </w:p>
        <w:p w14:paraId="56212E40" w14:textId="7777BB71" w:rsidR="003161FE" w:rsidRPr="003161FE" w:rsidRDefault="003161FE">
          <w:pPr>
            <w:pStyle w:val="TDC2"/>
            <w:tabs>
              <w:tab w:val="right" w:leader="dot" w:pos="8494"/>
            </w:tabs>
            <w:rPr>
              <w:rFonts w:ascii="Times New Roman" w:eastAsiaTheme="minorEastAsia" w:hAnsi="Times New Roman"/>
              <w:noProof/>
              <w:kern w:val="2"/>
              <w:sz w:val="24"/>
              <w:szCs w:val="24"/>
              <w:lang w:eastAsia="es-DO"/>
              <w14:ligatures w14:val="standardContextual"/>
            </w:rPr>
          </w:pPr>
          <w:hyperlink w:anchor="_Toc226973074" w:history="1">
            <w:r w:rsidRPr="003161FE">
              <w:rPr>
                <w:rStyle w:val="Hipervnculo"/>
                <w:rFonts w:ascii="Times New Roman" w:hAnsi="Times New Roman"/>
                <w:b/>
                <w:bCs/>
                <w:noProof/>
                <w:sz w:val="24"/>
                <w:szCs w:val="24"/>
              </w:rPr>
              <w:t>Visión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_Toc226973074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5</w:t>
            </w:r>
            <w:r w:rsidRPr="003161FE">
              <w:rPr>
                <w:rFonts w:ascii="Times New Roman" w:hAnsi="Times New Roman"/>
                <w:noProof/>
                <w:webHidden/>
                <w:sz w:val="24"/>
                <w:szCs w:val="24"/>
              </w:rPr>
              <w:fldChar w:fldCharType="end"/>
            </w:r>
          </w:hyperlink>
        </w:p>
        <w:p w14:paraId="38456BED" w14:textId="6566F07C" w:rsidR="003161FE" w:rsidRPr="003161FE" w:rsidRDefault="003161FE" w:rsidP="003161FE">
          <w:pPr>
            <w:pStyle w:val="TDC2"/>
            <w:tabs>
              <w:tab w:val="right" w:leader="dot" w:pos="8494"/>
            </w:tabs>
            <w:rPr>
              <w:rFonts w:ascii="Times New Roman" w:eastAsiaTheme="minorEastAsia" w:hAnsi="Times New Roman"/>
              <w:noProof/>
              <w:kern w:val="2"/>
              <w:sz w:val="24"/>
              <w:szCs w:val="24"/>
              <w:lang w:eastAsia="es-DO"/>
              <w14:ligatures w14:val="standardContextual"/>
            </w:rPr>
          </w:pPr>
          <w:hyperlink w:anchor="_Toc226973075" w:history="1">
            <w:r w:rsidRPr="003161FE">
              <w:rPr>
                <w:rStyle w:val="Hipervnculo"/>
                <w:rFonts w:ascii="Times New Roman" w:hAnsi="Times New Roman"/>
                <w:b/>
                <w:bCs/>
                <w:noProof/>
                <w:sz w:val="24"/>
                <w:szCs w:val="24"/>
              </w:rPr>
              <w:t>Valores</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_Toc226973075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6</w:t>
            </w:r>
            <w:r w:rsidRPr="003161FE">
              <w:rPr>
                <w:rFonts w:ascii="Times New Roman" w:hAnsi="Times New Roman"/>
                <w:noProof/>
                <w:webHidden/>
                <w:sz w:val="24"/>
                <w:szCs w:val="24"/>
              </w:rPr>
              <w:fldChar w:fldCharType="end"/>
            </w:r>
          </w:hyperlink>
        </w:p>
        <w:p w14:paraId="5A4A264F" w14:textId="36471960"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77" w:history="1">
            <w:r w:rsidRPr="003161FE">
              <w:rPr>
                <w:rStyle w:val="Hipervnculo"/>
                <w:rFonts w:ascii="Times New Roman" w:hAnsi="Times New Roman"/>
                <w:b/>
                <w:bCs/>
                <w:noProof/>
                <w:sz w:val="24"/>
                <w:szCs w:val="24"/>
              </w:rPr>
              <w:t>4.</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Desempeño del Plan Operativo Anual Institucional 2026</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_Toc226973077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7</w:t>
            </w:r>
            <w:r w:rsidRPr="003161FE">
              <w:rPr>
                <w:rFonts w:ascii="Times New Roman" w:hAnsi="Times New Roman"/>
                <w:noProof/>
                <w:webHidden/>
                <w:sz w:val="24"/>
                <w:szCs w:val="24"/>
              </w:rPr>
              <w:fldChar w:fldCharType="end"/>
            </w:r>
          </w:hyperlink>
        </w:p>
        <w:p w14:paraId="69AC7BEA" w14:textId="3FBE5C5A"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78" w:history="1">
            <w:r w:rsidRPr="003161FE">
              <w:rPr>
                <w:rStyle w:val="Hipervnculo"/>
                <w:rFonts w:ascii="Times New Roman" w:hAnsi="Times New Roman"/>
                <w:b/>
                <w:bCs/>
                <w:noProof/>
                <w:sz w:val="24"/>
                <w:szCs w:val="24"/>
              </w:rPr>
              <w:t>6.</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Ejecutiva</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_Toc226973078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9</w:t>
            </w:r>
            <w:r w:rsidRPr="003161FE">
              <w:rPr>
                <w:rFonts w:ascii="Times New Roman" w:hAnsi="Times New Roman"/>
                <w:noProof/>
                <w:webHidden/>
                <w:sz w:val="24"/>
                <w:szCs w:val="24"/>
              </w:rPr>
              <w:fldChar w:fldCharType="end"/>
            </w:r>
          </w:hyperlink>
        </w:p>
        <w:p w14:paraId="191AAA55" w14:textId="186E2136"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79" w:history="1">
            <w:r w:rsidRPr="003161FE">
              <w:rPr>
                <w:rStyle w:val="Hipervnculo"/>
                <w:rFonts w:ascii="Times New Roman" w:hAnsi="Times New Roman"/>
                <w:b/>
                <w:bCs/>
                <w:noProof/>
                <w:sz w:val="24"/>
                <w:szCs w:val="24"/>
              </w:rPr>
              <w:t>7.</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de Abastecimiento, Distribución y Logística</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_Toc226973079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10</w:t>
            </w:r>
            <w:r w:rsidRPr="003161FE">
              <w:rPr>
                <w:rFonts w:ascii="Times New Roman" w:hAnsi="Times New Roman"/>
                <w:noProof/>
                <w:webHidden/>
                <w:sz w:val="24"/>
                <w:szCs w:val="24"/>
              </w:rPr>
              <w:fldChar w:fldCharType="end"/>
            </w:r>
          </w:hyperlink>
        </w:p>
        <w:p w14:paraId="2F054F0E" w14:textId="22AC3CDE"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80" w:history="1">
            <w:r w:rsidRPr="003161FE">
              <w:rPr>
                <w:rStyle w:val="Hipervnculo"/>
                <w:rFonts w:ascii="Times New Roman" w:hAnsi="Times New Roman"/>
                <w:b/>
                <w:bCs/>
                <w:noProof/>
                <w:sz w:val="24"/>
                <w:szCs w:val="24"/>
              </w:rPr>
              <w:t>8.</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de Normas, Sistemas, Supervisión y Seguimiento</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_Toc226973080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11</w:t>
            </w:r>
            <w:r w:rsidRPr="003161FE">
              <w:rPr>
                <w:rFonts w:ascii="Times New Roman" w:hAnsi="Times New Roman"/>
                <w:noProof/>
                <w:webHidden/>
                <w:sz w:val="24"/>
                <w:szCs w:val="24"/>
              </w:rPr>
              <w:fldChar w:fldCharType="end"/>
            </w:r>
          </w:hyperlink>
        </w:p>
        <w:p w14:paraId="79B68D32" w14:textId="771283A4"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81" w:history="1">
            <w:r w:rsidRPr="003161FE">
              <w:rPr>
                <w:rStyle w:val="Hipervnculo"/>
                <w:rFonts w:ascii="Times New Roman" w:hAnsi="Times New Roman"/>
                <w:b/>
                <w:bCs/>
                <w:noProof/>
                <w:sz w:val="24"/>
                <w:szCs w:val="24"/>
              </w:rPr>
              <w:t>9.</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de Seguridad Militar</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_Toc226973081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12</w:t>
            </w:r>
            <w:r w:rsidRPr="003161FE">
              <w:rPr>
                <w:rFonts w:ascii="Times New Roman" w:hAnsi="Times New Roman"/>
                <w:noProof/>
                <w:webHidden/>
                <w:sz w:val="24"/>
                <w:szCs w:val="24"/>
              </w:rPr>
              <w:fldChar w:fldCharType="end"/>
            </w:r>
          </w:hyperlink>
        </w:p>
        <w:p w14:paraId="6B53B172" w14:textId="7147A7F3"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2" w:history="1">
            <w:r w:rsidRPr="003161FE">
              <w:rPr>
                <w:rStyle w:val="Hipervnculo"/>
                <w:rFonts w:ascii="Times New Roman" w:hAnsi="Times New Roman"/>
                <w:b/>
                <w:bCs/>
                <w:noProof/>
                <w:sz w:val="24"/>
                <w:szCs w:val="24"/>
              </w:rPr>
              <w:t>10.</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de Libre Acceso a la Información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_Toc226973082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13</w:t>
            </w:r>
            <w:r w:rsidRPr="003161FE">
              <w:rPr>
                <w:rFonts w:ascii="Times New Roman" w:hAnsi="Times New Roman"/>
                <w:noProof/>
                <w:webHidden/>
                <w:sz w:val="24"/>
                <w:szCs w:val="24"/>
              </w:rPr>
              <w:fldChar w:fldCharType="end"/>
            </w:r>
          </w:hyperlink>
        </w:p>
        <w:p w14:paraId="04CB4D0A" w14:textId="40031C89"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3" w:history="1">
            <w:r w:rsidRPr="003161FE">
              <w:rPr>
                <w:rStyle w:val="Hipervnculo"/>
                <w:rFonts w:ascii="Times New Roman" w:hAnsi="Times New Roman"/>
                <w:b/>
                <w:bCs/>
                <w:noProof/>
                <w:sz w:val="24"/>
                <w:szCs w:val="24"/>
              </w:rPr>
              <w:t>11.</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de Comunicaciones</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_Toc226973083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14</w:t>
            </w:r>
            <w:r w:rsidRPr="003161FE">
              <w:rPr>
                <w:rFonts w:ascii="Times New Roman" w:hAnsi="Times New Roman"/>
                <w:noProof/>
                <w:webHidden/>
                <w:sz w:val="24"/>
                <w:szCs w:val="24"/>
              </w:rPr>
              <w:fldChar w:fldCharType="end"/>
            </w:r>
          </w:hyperlink>
        </w:p>
        <w:p w14:paraId="06573E65" w14:textId="5BA51867"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4" w:history="1">
            <w:r w:rsidRPr="003161FE">
              <w:rPr>
                <w:rStyle w:val="Hipervnculo"/>
                <w:rFonts w:ascii="Times New Roman" w:hAnsi="Times New Roman"/>
                <w:b/>
                <w:bCs/>
                <w:noProof/>
                <w:sz w:val="24"/>
                <w:szCs w:val="24"/>
              </w:rPr>
              <w:t>12.</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de Planificación y Desarrollo</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_Toc226973084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14</w:t>
            </w:r>
            <w:r w:rsidRPr="003161FE">
              <w:rPr>
                <w:rFonts w:ascii="Times New Roman" w:hAnsi="Times New Roman"/>
                <w:noProof/>
                <w:webHidden/>
                <w:sz w:val="24"/>
                <w:szCs w:val="24"/>
              </w:rPr>
              <w:fldChar w:fldCharType="end"/>
            </w:r>
          </w:hyperlink>
        </w:p>
        <w:p w14:paraId="5C016049" w14:textId="6B5C3B2A"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5" w:history="1">
            <w:r w:rsidRPr="003161FE">
              <w:rPr>
                <w:rStyle w:val="Hipervnculo"/>
                <w:rFonts w:ascii="Times New Roman" w:hAnsi="Times New Roman"/>
                <w:b/>
                <w:bCs/>
                <w:noProof/>
                <w:sz w:val="24"/>
                <w:szCs w:val="24"/>
              </w:rPr>
              <w:t>13.</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de Recursos Humanos</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_Toc226973085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16</w:t>
            </w:r>
            <w:r w:rsidRPr="003161FE">
              <w:rPr>
                <w:rFonts w:ascii="Times New Roman" w:hAnsi="Times New Roman"/>
                <w:noProof/>
                <w:webHidden/>
                <w:sz w:val="24"/>
                <w:szCs w:val="24"/>
              </w:rPr>
              <w:fldChar w:fldCharType="end"/>
            </w:r>
          </w:hyperlink>
        </w:p>
        <w:p w14:paraId="3BD7C82E" w14:textId="35AF3907"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6" w:history="1">
            <w:r w:rsidRPr="003161FE">
              <w:rPr>
                <w:rStyle w:val="Hipervnculo"/>
                <w:rFonts w:ascii="Times New Roman" w:hAnsi="Times New Roman"/>
                <w:b/>
                <w:bCs/>
                <w:noProof/>
                <w:sz w:val="24"/>
                <w:szCs w:val="24"/>
              </w:rPr>
              <w:t>14.</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de Comercialización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_Toc226973086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17</w:t>
            </w:r>
            <w:r w:rsidRPr="003161FE">
              <w:rPr>
                <w:rFonts w:ascii="Times New Roman" w:hAnsi="Times New Roman"/>
                <w:noProof/>
                <w:webHidden/>
                <w:sz w:val="24"/>
                <w:szCs w:val="24"/>
              </w:rPr>
              <w:fldChar w:fldCharType="end"/>
            </w:r>
          </w:hyperlink>
        </w:p>
        <w:p w14:paraId="6027699F" w14:textId="07BE89C1"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7" w:history="1">
            <w:r w:rsidRPr="003161FE">
              <w:rPr>
                <w:rStyle w:val="Hipervnculo"/>
                <w:rFonts w:ascii="Times New Roman" w:hAnsi="Times New Roman"/>
                <w:b/>
                <w:bCs/>
                <w:noProof/>
                <w:sz w:val="24"/>
                <w:szCs w:val="24"/>
              </w:rPr>
              <w:t>15.</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de Gestión de Programas</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_Toc226973087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18</w:t>
            </w:r>
            <w:r w:rsidRPr="003161FE">
              <w:rPr>
                <w:rFonts w:ascii="Times New Roman" w:hAnsi="Times New Roman"/>
                <w:noProof/>
                <w:webHidden/>
                <w:sz w:val="24"/>
                <w:szCs w:val="24"/>
              </w:rPr>
              <w:fldChar w:fldCharType="end"/>
            </w:r>
          </w:hyperlink>
        </w:p>
        <w:p w14:paraId="630BDB97" w14:textId="1E781C92"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8" w:history="1">
            <w:r w:rsidRPr="003161FE">
              <w:rPr>
                <w:rStyle w:val="Hipervnculo"/>
                <w:rFonts w:ascii="Times New Roman" w:hAnsi="Times New Roman"/>
                <w:b/>
                <w:bCs/>
                <w:noProof/>
                <w:sz w:val="24"/>
                <w:szCs w:val="24"/>
              </w:rPr>
              <w:t>16.</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de Tecnologías de la Información y Comunicación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_Toc226973088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19</w:t>
            </w:r>
            <w:r w:rsidRPr="003161FE">
              <w:rPr>
                <w:rFonts w:ascii="Times New Roman" w:hAnsi="Times New Roman"/>
                <w:noProof/>
                <w:webHidden/>
                <w:sz w:val="24"/>
                <w:szCs w:val="24"/>
              </w:rPr>
              <w:fldChar w:fldCharType="end"/>
            </w:r>
          </w:hyperlink>
        </w:p>
        <w:p w14:paraId="58F42019" w14:textId="19C14A2A"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89" w:history="1">
            <w:r w:rsidRPr="003161FE">
              <w:rPr>
                <w:rStyle w:val="Hipervnculo"/>
                <w:rFonts w:ascii="Times New Roman" w:hAnsi="Times New Roman"/>
                <w:b/>
                <w:bCs/>
                <w:noProof/>
                <w:sz w:val="24"/>
                <w:szCs w:val="24"/>
              </w:rPr>
              <w:t>17.</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Departamento  Jurídico</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_Toc226973089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19</w:t>
            </w:r>
            <w:r w:rsidRPr="003161FE">
              <w:rPr>
                <w:rFonts w:ascii="Times New Roman" w:hAnsi="Times New Roman"/>
                <w:noProof/>
                <w:webHidden/>
                <w:sz w:val="24"/>
                <w:szCs w:val="24"/>
              </w:rPr>
              <w:fldChar w:fldCharType="end"/>
            </w:r>
          </w:hyperlink>
        </w:p>
        <w:p w14:paraId="28803CAB" w14:textId="68672418"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90" w:history="1">
            <w:r w:rsidRPr="003161FE">
              <w:rPr>
                <w:rStyle w:val="Hipervnculo"/>
                <w:rFonts w:ascii="Times New Roman" w:hAnsi="Times New Roman"/>
                <w:b/>
                <w:bCs/>
                <w:noProof/>
                <w:sz w:val="24"/>
                <w:szCs w:val="24"/>
              </w:rPr>
              <w:t>18.</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Administrativa Financiera</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_Toc226973090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20</w:t>
            </w:r>
            <w:r w:rsidRPr="003161FE">
              <w:rPr>
                <w:rFonts w:ascii="Times New Roman" w:hAnsi="Times New Roman"/>
                <w:noProof/>
                <w:webHidden/>
                <w:sz w:val="24"/>
                <w:szCs w:val="24"/>
              </w:rPr>
              <w:fldChar w:fldCharType="end"/>
            </w:r>
          </w:hyperlink>
        </w:p>
        <w:p w14:paraId="5AA440F0" w14:textId="5D75880D" w:rsidR="003161FE" w:rsidRPr="003161FE" w:rsidRDefault="003161FE">
          <w:pPr>
            <w:pStyle w:val="TDC1"/>
            <w:tabs>
              <w:tab w:val="left" w:pos="720"/>
              <w:tab w:val="right" w:leader="dot" w:pos="8494"/>
            </w:tabs>
            <w:rPr>
              <w:rFonts w:ascii="Times New Roman" w:eastAsiaTheme="minorEastAsia" w:hAnsi="Times New Roman"/>
              <w:noProof/>
              <w:kern w:val="2"/>
              <w:sz w:val="24"/>
              <w:szCs w:val="24"/>
              <w:lang w:eastAsia="es-DO"/>
              <w14:ligatures w14:val="standardContextual"/>
            </w:rPr>
          </w:pPr>
          <w:hyperlink w:anchor="_Toc226973091" w:history="1">
            <w:r w:rsidRPr="003161FE">
              <w:rPr>
                <w:rStyle w:val="Hipervnculo"/>
                <w:rFonts w:ascii="Times New Roman" w:hAnsi="Times New Roman"/>
                <w:b/>
                <w:bCs/>
                <w:noProof/>
                <w:sz w:val="24"/>
                <w:szCs w:val="24"/>
              </w:rPr>
              <w:t>19.</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Dirección Agropecuaria, Normas y Tecnología Alimentaria</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_Toc226973091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21</w:t>
            </w:r>
            <w:r w:rsidRPr="003161FE">
              <w:rPr>
                <w:rFonts w:ascii="Times New Roman" w:hAnsi="Times New Roman"/>
                <w:noProof/>
                <w:webHidden/>
                <w:sz w:val="24"/>
                <w:szCs w:val="24"/>
              </w:rPr>
              <w:fldChar w:fldCharType="end"/>
            </w:r>
          </w:hyperlink>
        </w:p>
        <w:p w14:paraId="6A5C28B4" w14:textId="408B8935" w:rsidR="003161FE" w:rsidRPr="003161FE" w:rsidRDefault="003161FE">
          <w:pPr>
            <w:pStyle w:val="TDC1"/>
            <w:tabs>
              <w:tab w:val="left" w:pos="480"/>
              <w:tab w:val="right" w:leader="dot" w:pos="8494"/>
            </w:tabs>
            <w:rPr>
              <w:rFonts w:ascii="Times New Roman" w:eastAsiaTheme="minorEastAsia" w:hAnsi="Times New Roman"/>
              <w:noProof/>
              <w:kern w:val="2"/>
              <w:sz w:val="24"/>
              <w:szCs w:val="24"/>
              <w:lang w:eastAsia="es-DO"/>
              <w14:ligatures w14:val="standardContextual"/>
            </w:rPr>
          </w:pPr>
          <w:hyperlink w:anchor="_Toc226973092" w:history="1">
            <w:r w:rsidRPr="003161FE">
              <w:rPr>
                <w:rStyle w:val="Hipervnculo"/>
                <w:rFonts w:ascii="Times New Roman" w:hAnsi="Times New Roman"/>
                <w:b/>
                <w:bCs/>
                <w:noProof/>
                <w:sz w:val="24"/>
                <w:szCs w:val="24"/>
              </w:rPr>
              <w:t>3.</w:t>
            </w:r>
            <w:r w:rsidRPr="003161FE">
              <w:rPr>
                <w:rFonts w:ascii="Times New Roman" w:eastAsiaTheme="minorEastAsia" w:hAnsi="Times New Roman"/>
                <w:noProof/>
                <w:kern w:val="2"/>
                <w:sz w:val="24"/>
                <w:szCs w:val="24"/>
                <w:lang w:eastAsia="es-DO"/>
                <w14:ligatures w14:val="standardContextual"/>
              </w:rPr>
              <w:tab/>
            </w:r>
            <w:r w:rsidRPr="003161FE">
              <w:rPr>
                <w:rStyle w:val="Hipervnculo"/>
                <w:rFonts w:ascii="Times New Roman" w:hAnsi="Times New Roman"/>
                <w:b/>
                <w:bCs/>
                <w:noProof/>
                <w:sz w:val="24"/>
                <w:szCs w:val="24"/>
              </w:rPr>
              <w:t>CONCLUSIÓN</w:t>
            </w:r>
            <w:r w:rsidRPr="003161FE">
              <w:rPr>
                <w:rFonts w:ascii="Times New Roman" w:hAnsi="Times New Roman"/>
                <w:noProof/>
                <w:webHidden/>
                <w:sz w:val="24"/>
                <w:szCs w:val="24"/>
              </w:rPr>
              <w:tab/>
            </w:r>
            <w:r w:rsidRPr="003161FE">
              <w:rPr>
                <w:rFonts w:ascii="Times New Roman" w:hAnsi="Times New Roman"/>
                <w:noProof/>
                <w:webHidden/>
                <w:sz w:val="24"/>
                <w:szCs w:val="24"/>
              </w:rPr>
              <w:fldChar w:fldCharType="begin"/>
            </w:r>
            <w:r w:rsidRPr="003161FE">
              <w:rPr>
                <w:rFonts w:ascii="Times New Roman" w:hAnsi="Times New Roman"/>
                <w:noProof/>
                <w:webHidden/>
                <w:sz w:val="24"/>
                <w:szCs w:val="24"/>
              </w:rPr>
              <w:instrText xml:space="preserve"> PAGEREF _Toc226973092 \h </w:instrText>
            </w:r>
            <w:r w:rsidRPr="003161FE">
              <w:rPr>
                <w:rFonts w:ascii="Times New Roman" w:hAnsi="Times New Roman"/>
                <w:noProof/>
                <w:webHidden/>
                <w:sz w:val="24"/>
                <w:szCs w:val="24"/>
              </w:rPr>
            </w:r>
            <w:r w:rsidRPr="003161FE">
              <w:rPr>
                <w:rFonts w:ascii="Times New Roman" w:hAnsi="Times New Roman"/>
                <w:noProof/>
                <w:webHidden/>
                <w:sz w:val="24"/>
                <w:szCs w:val="24"/>
              </w:rPr>
              <w:fldChar w:fldCharType="separate"/>
            </w:r>
            <w:r w:rsidRPr="003161FE">
              <w:rPr>
                <w:rFonts w:ascii="Times New Roman" w:hAnsi="Times New Roman"/>
                <w:noProof/>
                <w:webHidden/>
                <w:sz w:val="24"/>
                <w:szCs w:val="24"/>
              </w:rPr>
              <w:t>22</w:t>
            </w:r>
            <w:r w:rsidRPr="003161FE">
              <w:rPr>
                <w:rFonts w:ascii="Times New Roman" w:hAnsi="Times New Roman"/>
                <w:noProof/>
                <w:webHidden/>
                <w:sz w:val="24"/>
                <w:szCs w:val="24"/>
              </w:rPr>
              <w:fldChar w:fldCharType="end"/>
            </w:r>
          </w:hyperlink>
        </w:p>
        <w:p w14:paraId="4AFE72E8" w14:textId="441B9D48" w:rsidR="003161FE" w:rsidRDefault="003161FE">
          <w:r w:rsidRPr="003161FE">
            <w:rPr>
              <w:rFonts w:ascii="Times New Roman" w:hAnsi="Times New Roman"/>
              <w:b/>
              <w:bCs/>
              <w:sz w:val="24"/>
              <w:szCs w:val="24"/>
              <w:lang w:val="es-ES"/>
            </w:rPr>
            <w:fldChar w:fldCharType="end"/>
          </w:r>
        </w:p>
      </w:sdtContent>
    </w:sdt>
    <w:p w14:paraId="0A7F0081" w14:textId="5F8F084D" w:rsidR="00BB02BC" w:rsidRDefault="00BB02BC"/>
    <w:p w14:paraId="6683270F" w14:textId="77777777" w:rsidR="00BB02BC" w:rsidRDefault="00BB02BC"/>
    <w:p w14:paraId="19FCDACE" w14:textId="77777777" w:rsidR="00BB02BC" w:rsidRDefault="00BB02BC"/>
    <w:p w14:paraId="2BCA25F8" w14:textId="77777777" w:rsidR="00BB02BC" w:rsidRDefault="00BB02BC"/>
    <w:p w14:paraId="20F5BC18" w14:textId="77777777" w:rsidR="00BB02BC" w:rsidRDefault="00BB02BC"/>
    <w:p w14:paraId="237C841E" w14:textId="77777777" w:rsidR="00BB02BC" w:rsidRPr="008E31DC" w:rsidRDefault="00BB02BC" w:rsidP="003161FE">
      <w:pPr>
        <w:widowControl w:val="0"/>
        <w:autoSpaceDE w:val="0"/>
        <w:autoSpaceDN w:val="0"/>
        <w:adjustRightInd w:val="0"/>
        <w:spacing w:after="0" w:line="360" w:lineRule="auto"/>
        <w:rPr>
          <w:rFonts w:ascii="Arial" w:hAnsi="Arial" w:cs="Arial"/>
          <w:b/>
          <w:sz w:val="28"/>
          <w:szCs w:val="28"/>
        </w:rPr>
      </w:pPr>
    </w:p>
    <w:p w14:paraId="7AE52A91" w14:textId="40E4289D" w:rsidR="00BB02BC" w:rsidRPr="000348A8" w:rsidRDefault="00BB02BC" w:rsidP="00BB02BC">
      <w:pPr>
        <w:pStyle w:val="Ttulo1"/>
        <w:numPr>
          <w:ilvl w:val="0"/>
          <w:numId w:val="1"/>
        </w:numPr>
        <w:spacing w:line="360" w:lineRule="auto"/>
        <w:ind w:left="0"/>
        <w:jc w:val="both"/>
        <w:rPr>
          <w:rFonts w:ascii="Times New Roman" w:hAnsi="Times New Roman" w:cs="Times New Roman"/>
          <w:b/>
          <w:bCs/>
          <w:sz w:val="28"/>
          <w:szCs w:val="28"/>
        </w:rPr>
      </w:pPr>
      <w:bookmarkStart w:id="0" w:name="_Toc219704644"/>
      <w:bookmarkStart w:id="1" w:name="_Toc226973069"/>
      <w:r w:rsidRPr="000348A8">
        <w:rPr>
          <w:rFonts w:ascii="Times New Roman" w:hAnsi="Times New Roman" w:cs="Times New Roman"/>
          <w:b/>
          <w:bCs/>
          <w:sz w:val="28"/>
          <w:szCs w:val="28"/>
        </w:rPr>
        <w:lastRenderedPageBreak/>
        <w:t>INTRODUCCIÓN</w:t>
      </w:r>
      <w:bookmarkEnd w:id="0"/>
      <w:bookmarkEnd w:id="1"/>
      <w:r w:rsidRPr="000348A8">
        <w:rPr>
          <w:rFonts w:ascii="Times New Roman" w:hAnsi="Times New Roman" w:cs="Times New Roman"/>
          <w:b/>
          <w:bCs/>
          <w:sz w:val="28"/>
          <w:szCs w:val="28"/>
        </w:rPr>
        <w:t xml:space="preserve"> </w:t>
      </w:r>
    </w:p>
    <w:p w14:paraId="221BB847" w14:textId="77777777" w:rsidR="00BB02BC" w:rsidRPr="000348A8" w:rsidRDefault="00BB02BC" w:rsidP="00BB02BC">
      <w:pPr>
        <w:spacing w:line="360" w:lineRule="auto"/>
        <w:jc w:val="both"/>
        <w:rPr>
          <w:rFonts w:ascii="Times New Roman" w:hAnsi="Times New Roman"/>
          <w:sz w:val="24"/>
          <w:szCs w:val="24"/>
        </w:rPr>
      </w:pPr>
      <w:r w:rsidRPr="000348A8">
        <w:rPr>
          <w:rFonts w:ascii="Times New Roman" w:hAnsi="Times New Roman"/>
          <w:sz w:val="24"/>
          <w:szCs w:val="24"/>
        </w:rPr>
        <w:t xml:space="preserve">El presente informe de monitoreo y evaluación del Plan Operativo Anual (POA) del </w:t>
      </w:r>
      <w:r w:rsidRPr="000348A8">
        <w:rPr>
          <w:rFonts w:ascii="Times New Roman" w:hAnsi="Times New Roman"/>
          <w:b/>
          <w:bCs/>
          <w:sz w:val="24"/>
          <w:szCs w:val="24"/>
        </w:rPr>
        <w:t>Instituto de Estabilización de Precios (INESPRE)</w:t>
      </w:r>
      <w:r w:rsidRPr="000348A8">
        <w:rPr>
          <w:rFonts w:ascii="Times New Roman" w:hAnsi="Times New Roman"/>
          <w:sz w:val="24"/>
          <w:szCs w:val="24"/>
        </w:rPr>
        <w:t>, presenta los resultados de las ejecutorias correspondientes a los productos y metas programadas por la institución para el período enero–marzo del año 2026.</w:t>
      </w:r>
    </w:p>
    <w:p w14:paraId="1C794693" w14:textId="13D19CE9" w:rsidR="00BB02BC" w:rsidRPr="000348A8" w:rsidRDefault="00BB02BC" w:rsidP="00BB02BC">
      <w:pPr>
        <w:spacing w:line="360" w:lineRule="auto"/>
        <w:jc w:val="both"/>
        <w:rPr>
          <w:rFonts w:ascii="Times New Roman" w:hAnsi="Times New Roman"/>
          <w:sz w:val="24"/>
          <w:szCs w:val="24"/>
        </w:rPr>
      </w:pPr>
      <w:r w:rsidRPr="000348A8">
        <w:rPr>
          <w:rFonts w:ascii="Times New Roman" w:hAnsi="Times New Roman"/>
          <w:sz w:val="24"/>
          <w:szCs w:val="24"/>
        </w:rPr>
        <w:t>El propósito de este documento es orientar a las autoridades del INESPRE</w:t>
      </w:r>
      <w:r w:rsidR="00F018AB">
        <w:rPr>
          <w:rFonts w:ascii="Times New Roman" w:hAnsi="Times New Roman"/>
          <w:sz w:val="24"/>
          <w:szCs w:val="24"/>
        </w:rPr>
        <w:t>, el sector público</w:t>
      </w:r>
      <w:r w:rsidRPr="000348A8">
        <w:rPr>
          <w:rFonts w:ascii="Times New Roman" w:hAnsi="Times New Roman"/>
          <w:sz w:val="24"/>
          <w:szCs w:val="24"/>
        </w:rPr>
        <w:t xml:space="preserve"> y a los demás grupos de interés sobre el nivel de cumplimiento de las metas institucionales, vinculadas al logro de los objetivos estratégicos establecidos en</w:t>
      </w:r>
      <w:r w:rsidR="00F018AB">
        <w:rPr>
          <w:rFonts w:ascii="Times New Roman" w:hAnsi="Times New Roman"/>
          <w:sz w:val="24"/>
          <w:szCs w:val="24"/>
        </w:rPr>
        <w:t xml:space="preserve"> el</w:t>
      </w:r>
      <w:r w:rsidRPr="000348A8">
        <w:rPr>
          <w:rFonts w:ascii="Times New Roman" w:hAnsi="Times New Roman"/>
          <w:sz w:val="24"/>
          <w:szCs w:val="24"/>
        </w:rPr>
        <w:t xml:space="preserve"> Plan Estratégico Institucional (PEI) 2025–2028, sirviendo como insumo para la toma oportuna de decisiones.</w:t>
      </w:r>
    </w:p>
    <w:p w14:paraId="73953384" w14:textId="77777777" w:rsidR="00BB02BC" w:rsidRPr="000348A8" w:rsidRDefault="00BB02BC" w:rsidP="00BB02BC">
      <w:pPr>
        <w:spacing w:line="360" w:lineRule="auto"/>
        <w:jc w:val="both"/>
        <w:rPr>
          <w:rFonts w:ascii="Times New Roman" w:hAnsi="Times New Roman"/>
          <w:sz w:val="24"/>
          <w:szCs w:val="24"/>
        </w:rPr>
      </w:pPr>
      <w:r w:rsidRPr="000348A8">
        <w:rPr>
          <w:rFonts w:ascii="Times New Roman" w:hAnsi="Times New Roman"/>
          <w:sz w:val="24"/>
          <w:szCs w:val="24"/>
        </w:rPr>
        <w:t>En cuanto a los aspectos metodológicos, se destaca que el cálculo del cumplimiento de las metas considera como valor máximo el 100% del logro programado para cada producto, sin tomar en cuenta los valores excedentes, a fin de no distorsionar la medición real del desempeño institucional.</w:t>
      </w:r>
    </w:p>
    <w:p w14:paraId="3DE63F0C" w14:textId="77777777" w:rsidR="00BB02BC" w:rsidRPr="000348A8" w:rsidRDefault="00BB02BC" w:rsidP="00BB02BC">
      <w:pPr>
        <w:spacing w:line="360" w:lineRule="auto"/>
        <w:jc w:val="both"/>
        <w:rPr>
          <w:rFonts w:ascii="Times New Roman" w:hAnsi="Times New Roman"/>
          <w:sz w:val="24"/>
          <w:szCs w:val="24"/>
        </w:rPr>
      </w:pPr>
      <w:r w:rsidRPr="000348A8">
        <w:rPr>
          <w:rFonts w:ascii="Times New Roman" w:hAnsi="Times New Roman"/>
          <w:sz w:val="24"/>
          <w:szCs w:val="24"/>
        </w:rPr>
        <w:t>La calificación del nivel de cumplimiento del POA se determina a partir de la construcción del Índice de Eficacia del Cumplimiento (IEC), el cual se obtiene mediante la sumatoria del promedio del nivel de logro de las metas alcanzadas por cada área organizacional. Esta calificación se interpreta conforme a la siguiente escala de valoración y semaforización:</w:t>
      </w:r>
    </w:p>
    <w:tbl>
      <w:tblPr>
        <w:tblW w:w="6611" w:type="dxa"/>
        <w:jc w:val="center"/>
        <w:tblCellSpacing w:w="15" w:type="dxa"/>
        <w:tblCellMar>
          <w:top w:w="15" w:type="dxa"/>
          <w:left w:w="15" w:type="dxa"/>
          <w:bottom w:w="15" w:type="dxa"/>
          <w:right w:w="15" w:type="dxa"/>
        </w:tblCellMar>
        <w:tblLook w:val="04A0" w:firstRow="1" w:lastRow="0" w:firstColumn="1" w:lastColumn="0" w:noHBand="0" w:noVBand="1"/>
      </w:tblPr>
      <w:tblGrid>
        <w:gridCol w:w="3057"/>
        <w:gridCol w:w="2127"/>
        <w:gridCol w:w="1427"/>
      </w:tblGrid>
      <w:tr w:rsidR="00BB02BC" w:rsidRPr="000348A8" w14:paraId="7B1F2604" w14:textId="77777777" w:rsidTr="00DD1874">
        <w:trPr>
          <w:trHeight w:val="605"/>
          <w:tblHeader/>
          <w:tblCellSpacing w:w="15" w:type="dxa"/>
          <w:jc w:val="center"/>
        </w:trPr>
        <w:tc>
          <w:tcPr>
            <w:tcW w:w="0" w:type="auto"/>
            <w:vAlign w:val="center"/>
            <w:hideMark/>
          </w:tcPr>
          <w:p w14:paraId="450D7F02" w14:textId="77777777" w:rsidR="00BB02BC" w:rsidRPr="000348A8" w:rsidRDefault="00BB02BC" w:rsidP="00DD1874">
            <w:pPr>
              <w:spacing w:line="360" w:lineRule="auto"/>
              <w:jc w:val="both"/>
              <w:rPr>
                <w:rFonts w:ascii="Times New Roman" w:hAnsi="Times New Roman"/>
                <w:b/>
                <w:bCs/>
                <w:sz w:val="24"/>
                <w:szCs w:val="24"/>
              </w:rPr>
            </w:pPr>
            <w:r w:rsidRPr="000348A8">
              <w:rPr>
                <w:rFonts w:ascii="Times New Roman" w:hAnsi="Times New Roman"/>
                <w:b/>
                <w:bCs/>
                <w:sz w:val="24"/>
                <w:szCs w:val="24"/>
              </w:rPr>
              <w:t>Rango de calificación</w:t>
            </w:r>
          </w:p>
        </w:tc>
        <w:tc>
          <w:tcPr>
            <w:tcW w:w="0" w:type="auto"/>
            <w:vAlign w:val="center"/>
            <w:hideMark/>
          </w:tcPr>
          <w:p w14:paraId="31CE4CCA" w14:textId="77777777" w:rsidR="00BB02BC" w:rsidRPr="000348A8" w:rsidRDefault="00BB02BC" w:rsidP="00DD1874">
            <w:pPr>
              <w:spacing w:line="360" w:lineRule="auto"/>
              <w:jc w:val="both"/>
              <w:rPr>
                <w:rFonts w:ascii="Times New Roman" w:hAnsi="Times New Roman"/>
                <w:b/>
                <w:bCs/>
                <w:sz w:val="24"/>
                <w:szCs w:val="24"/>
              </w:rPr>
            </w:pPr>
            <w:r w:rsidRPr="000348A8">
              <w:rPr>
                <w:rFonts w:ascii="Times New Roman" w:hAnsi="Times New Roman"/>
                <w:b/>
                <w:bCs/>
                <w:sz w:val="24"/>
                <w:szCs w:val="24"/>
              </w:rPr>
              <w:t>Valoración</w:t>
            </w:r>
          </w:p>
        </w:tc>
        <w:tc>
          <w:tcPr>
            <w:tcW w:w="0" w:type="auto"/>
            <w:vAlign w:val="center"/>
            <w:hideMark/>
          </w:tcPr>
          <w:p w14:paraId="5264ABC9" w14:textId="77777777" w:rsidR="00BB02BC" w:rsidRPr="000348A8" w:rsidRDefault="00BB02BC" w:rsidP="00DD1874">
            <w:pPr>
              <w:spacing w:line="360" w:lineRule="auto"/>
              <w:jc w:val="both"/>
              <w:rPr>
                <w:rFonts w:ascii="Times New Roman" w:hAnsi="Times New Roman"/>
                <w:b/>
                <w:bCs/>
                <w:sz w:val="24"/>
                <w:szCs w:val="24"/>
              </w:rPr>
            </w:pPr>
            <w:r w:rsidRPr="000348A8">
              <w:rPr>
                <w:rFonts w:ascii="Times New Roman" w:hAnsi="Times New Roman"/>
                <w:b/>
                <w:bCs/>
                <w:sz w:val="24"/>
                <w:szCs w:val="24"/>
              </w:rPr>
              <w:t>Semáforo</w:t>
            </w:r>
          </w:p>
        </w:tc>
      </w:tr>
      <w:tr w:rsidR="00BB02BC" w:rsidRPr="000348A8" w14:paraId="03D897E3" w14:textId="77777777" w:rsidTr="00DD1874">
        <w:trPr>
          <w:trHeight w:val="661"/>
          <w:tblCellSpacing w:w="15" w:type="dxa"/>
          <w:jc w:val="center"/>
        </w:trPr>
        <w:tc>
          <w:tcPr>
            <w:tcW w:w="0" w:type="auto"/>
            <w:vAlign w:val="center"/>
            <w:hideMark/>
          </w:tcPr>
          <w:p w14:paraId="75026C26" w14:textId="77777777"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0% – 70%</w:t>
            </w:r>
          </w:p>
        </w:tc>
        <w:tc>
          <w:tcPr>
            <w:tcW w:w="0" w:type="auto"/>
            <w:vAlign w:val="center"/>
            <w:hideMark/>
          </w:tcPr>
          <w:p w14:paraId="78FBE204" w14:textId="77777777"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No satisfactoria</w:t>
            </w:r>
          </w:p>
        </w:tc>
        <w:tc>
          <w:tcPr>
            <w:tcW w:w="0" w:type="auto"/>
            <w:vAlign w:val="center"/>
            <w:hideMark/>
          </w:tcPr>
          <w:p w14:paraId="721AA92A" w14:textId="77777777" w:rsidR="00BB02BC" w:rsidRPr="000348A8" w:rsidRDefault="00BB02BC" w:rsidP="00DD1874">
            <w:pPr>
              <w:spacing w:line="240" w:lineRule="auto"/>
              <w:jc w:val="both"/>
              <w:rPr>
                <w:rFonts w:ascii="Times New Roman" w:hAnsi="Times New Roman"/>
                <w:sz w:val="24"/>
                <w:szCs w:val="24"/>
              </w:rPr>
            </w:pPr>
            <w:r w:rsidRPr="000348A8">
              <w:rPr>
                <w:rFonts w:ascii="Segoe UI Emoji" w:hAnsi="Segoe UI Emoji" w:cs="Segoe UI Emoji"/>
                <w:sz w:val="24"/>
                <w:szCs w:val="24"/>
              </w:rPr>
              <w:t>🔴</w:t>
            </w:r>
          </w:p>
        </w:tc>
      </w:tr>
      <w:tr w:rsidR="00BB02BC" w:rsidRPr="000348A8" w14:paraId="52343835" w14:textId="77777777" w:rsidTr="00DD1874">
        <w:trPr>
          <w:trHeight w:val="661"/>
          <w:tblCellSpacing w:w="15" w:type="dxa"/>
          <w:jc w:val="center"/>
        </w:trPr>
        <w:tc>
          <w:tcPr>
            <w:tcW w:w="0" w:type="auto"/>
            <w:vAlign w:val="center"/>
            <w:hideMark/>
          </w:tcPr>
          <w:p w14:paraId="27479B09" w14:textId="3F696C61"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71% – 90%</w:t>
            </w:r>
          </w:p>
        </w:tc>
        <w:tc>
          <w:tcPr>
            <w:tcW w:w="0" w:type="auto"/>
            <w:vAlign w:val="center"/>
            <w:hideMark/>
          </w:tcPr>
          <w:p w14:paraId="01136B42" w14:textId="77777777"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Razonable</w:t>
            </w:r>
          </w:p>
        </w:tc>
        <w:tc>
          <w:tcPr>
            <w:tcW w:w="0" w:type="auto"/>
            <w:vAlign w:val="center"/>
            <w:hideMark/>
          </w:tcPr>
          <w:p w14:paraId="61068549" w14:textId="77777777" w:rsidR="00BB02BC" w:rsidRPr="000348A8" w:rsidRDefault="00BB02BC" w:rsidP="00DD1874">
            <w:pPr>
              <w:spacing w:line="240" w:lineRule="auto"/>
              <w:jc w:val="both"/>
              <w:rPr>
                <w:rFonts w:ascii="Times New Roman" w:hAnsi="Times New Roman"/>
                <w:sz w:val="24"/>
                <w:szCs w:val="24"/>
              </w:rPr>
            </w:pPr>
            <w:r w:rsidRPr="000348A8">
              <w:rPr>
                <w:rFonts w:ascii="Segoe UI Emoji" w:hAnsi="Segoe UI Emoji" w:cs="Segoe UI Emoji"/>
                <w:sz w:val="24"/>
                <w:szCs w:val="24"/>
              </w:rPr>
              <w:t>🟡</w:t>
            </w:r>
          </w:p>
        </w:tc>
      </w:tr>
      <w:tr w:rsidR="00BB02BC" w:rsidRPr="000348A8" w14:paraId="5DE07CE4" w14:textId="77777777" w:rsidTr="00DD1874">
        <w:trPr>
          <w:trHeight w:val="674"/>
          <w:tblCellSpacing w:w="15" w:type="dxa"/>
          <w:jc w:val="center"/>
        </w:trPr>
        <w:tc>
          <w:tcPr>
            <w:tcW w:w="0" w:type="auto"/>
            <w:vAlign w:val="center"/>
            <w:hideMark/>
          </w:tcPr>
          <w:p w14:paraId="385D23C5" w14:textId="36AC9A25"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91% – 100%</w:t>
            </w:r>
          </w:p>
        </w:tc>
        <w:tc>
          <w:tcPr>
            <w:tcW w:w="0" w:type="auto"/>
            <w:vAlign w:val="center"/>
            <w:hideMark/>
          </w:tcPr>
          <w:p w14:paraId="68320039" w14:textId="77777777" w:rsidR="00BB02BC" w:rsidRPr="000348A8" w:rsidRDefault="00BB02BC" w:rsidP="00DD1874">
            <w:pPr>
              <w:spacing w:line="240" w:lineRule="auto"/>
              <w:jc w:val="both"/>
              <w:rPr>
                <w:rFonts w:ascii="Times New Roman" w:hAnsi="Times New Roman"/>
                <w:sz w:val="24"/>
                <w:szCs w:val="24"/>
              </w:rPr>
            </w:pPr>
            <w:r w:rsidRPr="000348A8">
              <w:rPr>
                <w:rFonts w:ascii="Times New Roman" w:hAnsi="Times New Roman"/>
                <w:sz w:val="24"/>
                <w:szCs w:val="24"/>
              </w:rPr>
              <w:t>Satisfactoria</w:t>
            </w:r>
          </w:p>
        </w:tc>
        <w:tc>
          <w:tcPr>
            <w:tcW w:w="0" w:type="auto"/>
            <w:vAlign w:val="center"/>
            <w:hideMark/>
          </w:tcPr>
          <w:p w14:paraId="613F8BBB" w14:textId="77777777" w:rsidR="00BB02BC" w:rsidRPr="000348A8" w:rsidRDefault="00BB02BC" w:rsidP="00DD1874">
            <w:pPr>
              <w:spacing w:line="240" w:lineRule="auto"/>
              <w:jc w:val="both"/>
              <w:rPr>
                <w:rFonts w:ascii="Times New Roman" w:hAnsi="Times New Roman"/>
                <w:sz w:val="24"/>
                <w:szCs w:val="24"/>
              </w:rPr>
            </w:pPr>
            <w:r w:rsidRPr="000348A8">
              <w:rPr>
                <w:rFonts w:ascii="Segoe UI Emoji" w:hAnsi="Segoe UI Emoji" w:cs="Segoe UI Emoji"/>
                <w:sz w:val="24"/>
                <w:szCs w:val="24"/>
              </w:rPr>
              <w:t>🟢</w:t>
            </w:r>
          </w:p>
        </w:tc>
      </w:tr>
    </w:tbl>
    <w:p w14:paraId="3EF58AD5" w14:textId="77777777" w:rsidR="00BB02BC" w:rsidRDefault="00BB02BC" w:rsidP="00BB02BC">
      <w:pPr>
        <w:spacing w:line="360" w:lineRule="auto"/>
        <w:jc w:val="both"/>
        <w:rPr>
          <w:rFonts w:ascii="Arial" w:hAnsi="Arial" w:cs="Arial"/>
        </w:rPr>
      </w:pPr>
    </w:p>
    <w:p w14:paraId="6CDBEA70" w14:textId="77777777" w:rsidR="00BB02BC" w:rsidRPr="008E31DC" w:rsidRDefault="00BB02BC" w:rsidP="00BB02BC">
      <w:pPr>
        <w:spacing w:line="360" w:lineRule="auto"/>
        <w:jc w:val="both"/>
        <w:rPr>
          <w:rFonts w:ascii="Arial" w:hAnsi="Arial" w:cs="Arial"/>
        </w:rPr>
      </w:pPr>
    </w:p>
    <w:p w14:paraId="4BBDBB74" w14:textId="77777777" w:rsidR="00BB02BC" w:rsidRPr="000348A8" w:rsidRDefault="00BB02BC" w:rsidP="00BB02BC">
      <w:pPr>
        <w:pStyle w:val="Ttulo1"/>
        <w:numPr>
          <w:ilvl w:val="0"/>
          <w:numId w:val="1"/>
        </w:numPr>
        <w:spacing w:line="360" w:lineRule="auto"/>
        <w:ind w:left="0"/>
        <w:jc w:val="both"/>
        <w:rPr>
          <w:rFonts w:ascii="Times New Roman" w:hAnsi="Times New Roman" w:cs="Times New Roman"/>
          <w:b/>
          <w:bCs/>
          <w:sz w:val="28"/>
          <w:szCs w:val="28"/>
        </w:rPr>
      </w:pPr>
      <w:bookmarkStart w:id="2" w:name="_Toc219704645"/>
      <w:bookmarkStart w:id="3" w:name="_Toc226973070"/>
      <w:r w:rsidRPr="000348A8">
        <w:rPr>
          <w:rFonts w:ascii="Times New Roman" w:hAnsi="Times New Roman" w:cs="Times New Roman"/>
          <w:b/>
          <w:bCs/>
          <w:sz w:val="28"/>
          <w:szCs w:val="28"/>
        </w:rPr>
        <w:lastRenderedPageBreak/>
        <w:t>RESUMEN EJECUTIVO</w:t>
      </w:r>
      <w:bookmarkEnd w:id="2"/>
      <w:bookmarkEnd w:id="3"/>
    </w:p>
    <w:p w14:paraId="4C2D7692" w14:textId="77777777" w:rsidR="00B764E4" w:rsidRPr="00B764E4" w:rsidRDefault="00B764E4" w:rsidP="00B764E4">
      <w:pPr>
        <w:pStyle w:val="NormalWeb"/>
        <w:spacing w:line="276" w:lineRule="auto"/>
        <w:jc w:val="both"/>
        <w:rPr>
          <w:lang w:val="es-DO" w:eastAsia="en-US"/>
        </w:rPr>
      </w:pPr>
      <w:r w:rsidRPr="00B764E4">
        <w:rPr>
          <w:lang w:val="es-DO" w:eastAsia="en-US"/>
        </w:rPr>
        <w:t>El informe de monitoreo y evaluación del Plan Operativo Anual (POA) del Instituto de Estabilización de Precios (INESPRE) contempla el nivel de ejecución de las metas programadas por las áreas sustantivas y de apoyo institucional para el período enero–marzo del año 2026.</w:t>
      </w:r>
    </w:p>
    <w:p w14:paraId="072AA612" w14:textId="1685B347" w:rsidR="00B764E4" w:rsidRPr="00B764E4" w:rsidRDefault="00B764E4" w:rsidP="00B764E4">
      <w:pPr>
        <w:pStyle w:val="NormalWeb"/>
        <w:spacing w:line="276" w:lineRule="auto"/>
        <w:jc w:val="both"/>
        <w:rPr>
          <w:lang w:val="es-DO" w:eastAsia="en-US"/>
        </w:rPr>
      </w:pPr>
      <w:r w:rsidRPr="00B764E4">
        <w:rPr>
          <w:lang w:val="es-DO" w:eastAsia="en-US"/>
        </w:rPr>
        <w:t xml:space="preserve">En sentido general, las áreas programaron un total de 107 metas en el POA para el primer trimestre del año. De estas, el </w:t>
      </w:r>
      <w:r w:rsidRPr="00B764E4">
        <w:rPr>
          <w:b/>
          <w:bCs/>
          <w:lang w:val="es-DO" w:eastAsia="en-US"/>
        </w:rPr>
        <w:t>65% (70 metas)</w:t>
      </w:r>
      <w:r w:rsidRPr="00B764E4">
        <w:rPr>
          <w:lang w:val="es-DO" w:eastAsia="en-US"/>
        </w:rPr>
        <w:t xml:space="preserve"> fueron completadas en un 100%; un </w:t>
      </w:r>
      <w:r w:rsidRPr="00B764E4">
        <w:rPr>
          <w:b/>
          <w:bCs/>
          <w:lang w:val="es-DO" w:eastAsia="en-US"/>
        </w:rPr>
        <w:t>25% (27 metas)</w:t>
      </w:r>
      <w:r w:rsidRPr="00B764E4">
        <w:rPr>
          <w:lang w:val="es-DO" w:eastAsia="en-US"/>
        </w:rPr>
        <w:t xml:space="preserve"> presentaron niveles significativos de ejecución</w:t>
      </w:r>
      <w:r w:rsidR="00F018AB">
        <w:rPr>
          <w:lang w:val="es-DO" w:eastAsia="en-US"/>
        </w:rPr>
        <w:t xml:space="preserve">, aunque </w:t>
      </w:r>
      <w:r w:rsidR="00F018AB" w:rsidRPr="00B764E4">
        <w:rPr>
          <w:lang w:val="es-DO" w:eastAsia="en-US"/>
        </w:rPr>
        <w:t>no alcanzaron el 100% de lo programado</w:t>
      </w:r>
      <w:r w:rsidRPr="00B764E4">
        <w:rPr>
          <w:lang w:val="es-DO" w:eastAsia="en-US"/>
        </w:rPr>
        <w:t xml:space="preserve">; y el restante </w:t>
      </w:r>
      <w:r w:rsidRPr="00B764E4">
        <w:rPr>
          <w:b/>
          <w:bCs/>
          <w:lang w:val="es-DO" w:eastAsia="en-US"/>
        </w:rPr>
        <w:t>10% (10 metas)</w:t>
      </w:r>
      <w:r w:rsidRPr="00B764E4">
        <w:rPr>
          <w:lang w:val="es-DO" w:eastAsia="en-US"/>
        </w:rPr>
        <w:t xml:space="preserve"> registraron un nivel de ejecución de cero (0).</w:t>
      </w:r>
    </w:p>
    <w:p w14:paraId="0A31AAA7" w14:textId="04EA7262" w:rsidR="00B764E4" w:rsidRPr="00B764E4" w:rsidRDefault="00B764E4" w:rsidP="00B764E4">
      <w:pPr>
        <w:pStyle w:val="NormalWeb"/>
        <w:spacing w:line="276" w:lineRule="auto"/>
        <w:jc w:val="both"/>
        <w:rPr>
          <w:lang w:val="es-DO" w:eastAsia="en-US"/>
        </w:rPr>
      </w:pPr>
      <w:r w:rsidRPr="00B764E4">
        <w:rPr>
          <w:lang w:val="es-DO" w:eastAsia="en-US"/>
        </w:rPr>
        <w:t xml:space="preserve">En relación con la eficacia en el cumplimiento, medida a través del promedio del logro de las metas por área, el INESPRE obtuvo una calificación general de </w:t>
      </w:r>
      <w:r w:rsidRPr="00B764E4">
        <w:rPr>
          <w:b/>
          <w:bCs/>
          <w:lang w:val="es-DO" w:eastAsia="en-US"/>
        </w:rPr>
        <w:t>86%</w:t>
      </w:r>
      <w:r w:rsidRPr="00B764E4">
        <w:rPr>
          <w:lang w:val="es-DO" w:eastAsia="en-US"/>
        </w:rPr>
        <w:t xml:space="preserve">, lo que representa un desempeño </w:t>
      </w:r>
      <w:r w:rsidRPr="00B764E4">
        <w:rPr>
          <w:b/>
          <w:bCs/>
          <w:lang w:val="es-DO" w:eastAsia="en-US"/>
        </w:rPr>
        <w:t>razonable</w:t>
      </w:r>
      <w:r w:rsidRPr="00B764E4">
        <w:rPr>
          <w:lang w:val="es-DO" w:eastAsia="en-US"/>
        </w:rPr>
        <w:t xml:space="preserve"> durante el período evaluado.</w:t>
      </w:r>
    </w:p>
    <w:p w14:paraId="2E6C7F4B" w14:textId="77777777" w:rsidR="00B764E4" w:rsidRPr="00B764E4" w:rsidRDefault="00B764E4" w:rsidP="00B764E4">
      <w:pPr>
        <w:pStyle w:val="NormalWeb"/>
        <w:spacing w:line="276" w:lineRule="auto"/>
        <w:jc w:val="both"/>
        <w:rPr>
          <w:lang w:val="es-DO" w:eastAsia="en-US"/>
        </w:rPr>
      </w:pPr>
      <w:r w:rsidRPr="00B764E4">
        <w:rPr>
          <w:lang w:val="es-DO" w:eastAsia="en-US"/>
        </w:rPr>
        <w:t>De manera general, el nivel de ejecución alcanzado evidencia el compromiso institucional con el cumplimiento de la planificación operativa, en correspondencia con los objetivos estratégicos definidos en el Plan Estratégico Institucional (PEI) 2025–2028.</w:t>
      </w:r>
    </w:p>
    <w:p w14:paraId="135C23AF" w14:textId="77777777" w:rsidR="00B764E4" w:rsidRPr="00B764E4" w:rsidRDefault="00B764E4" w:rsidP="00B764E4">
      <w:pPr>
        <w:pStyle w:val="NormalWeb"/>
        <w:spacing w:line="276" w:lineRule="auto"/>
        <w:jc w:val="both"/>
        <w:rPr>
          <w:lang w:val="es-DO" w:eastAsia="en-US"/>
        </w:rPr>
      </w:pPr>
      <w:r w:rsidRPr="00B764E4">
        <w:rPr>
          <w:lang w:val="es-DO" w:eastAsia="en-US"/>
        </w:rPr>
        <w:t xml:space="preserve">En cuanto a las brechas de cumplimiento identificadas, las principales causas de desvío y/o reprogramación de metas estuvieron asociadas a factores </w:t>
      </w:r>
      <w:r w:rsidRPr="00B764E4">
        <w:rPr>
          <w:b/>
          <w:bCs/>
          <w:lang w:val="es-DO" w:eastAsia="en-US"/>
        </w:rPr>
        <w:t>operativos, administrativos y externos</w:t>
      </w:r>
      <w:r w:rsidRPr="00B764E4">
        <w:rPr>
          <w:lang w:val="es-DO" w:eastAsia="en-US"/>
        </w:rPr>
        <w:t>, tales como procesos de contratación en curso, disponibilidad de recursos presupuestarios, condiciones logísticas y dependencias interinstitucionales, los cuales incidieron en el desarrollo oportuno de algunas actividades programadas. No obstante, se han adoptado medidas de ajuste orientadas a garantizar la continuidad y cumplimiento de los productos institucionales en los períodos subsiguientes.</w:t>
      </w:r>
    </w:p>
    <w:p w14:paraId="02BA3BF5" w14:textId="77777777" w:rsidR="00BB02BC" w:rsidRPr="00B764E4" w:rsidRDefault="00BB02BC" w:rsidP="00BB02BC">
      <w:pPr>
        <w:spacing w:after="0" w:line="360" w:lineRule="auto"/>
        <w:jc w:val="both"/>
        <w:rPr>
          <w:rFonts w:ascii="Arial" w:hAnsi="Arial" w:cs="Arial"/>
          <w:szCs w:val="24"/>
          <w:lang w:val="es-ES"/>
        </w:rPr>
      </w:pPr>
    </w:p>
    <w:p w14:paraId="3B877F53" w14:textId="77777777" w:rsidR="00BB02BC" w:rsidRDefault="00BB02BC" w:rsidP="00BB02BC">
      <w:pPr>
        <w:spacing w:after="0" w:line="360" w:lineRule="auto"/>
        <w:jc w:val="both"/>
        <w:rPr>
          <w:rFonts w:ascii="Arial" w:hAnsi="Arial" w:cs="Arial"/>
          <w:szCs w:val="24"/>
        </w:rPr>
      </w:pPr>
    </w:p>
    <w:p w14:paraId="49D6FD5D" w14:textId="77777777" w:rsidR="00BB02BC" w:rsidRDefault="00BB02BC" w:rsidP="00BB02BC">
      <w:pPr>
        <w:spacing w:after="0" w:line="360" w:lineRule="auto"/>
        <w:jc w:val="both"/>
        <w:rPr>
          <w:rFonts w:ascii="Arial" w:hAnsi="Arial" w:cs="Arial"/>
          <w:szCs w:val="24"/>
        </w:rPr>
      </w:pPr>
    </w:p>
    <w:p w14:paraId="051F4BF6" w14:textId="77777777" w:rsidR="00BB02BC" w:rsidRPr="008E31DC" w:rsidRDefault="00BB02BC" w:rsidP="00BB02BC">
      <w:pPr>
        <w:spacing w:after="0" w:line="360" w:lineRule="auto"/>
        <w:jc w:val="both"/>
        <w:rPr>
          <w:rFonts w:ascii="Arial" w:hAnsi="Arial" w:cs="Arial"/>
          <w:szCs w:val="24"/>
        </w:rPr>
      </w:pPr>
    </w:p>
    <w:p w14:paraId="69F6F91E" w14:textId="77777777" w:rsidR="00BB02BC" w:rsidRPr="000348A8" w:rsidRDefault="00BB02BC" w:rsidP="00BB02BC">
      <w:pPr>
        <w:pStyle w:val="Ttulo1"/>
        <w:numPr>
          <w:ilvl w:val="0"/>
          <w:numId w:val="1"/>
        </w:numPr>
        <w:spacing w:line="360" w:lineRule="auto"/>
        <w:ind w:left="0"/>
        <w:rPr>
          <w:rFonts w:ascii="Times New Roman" w:hAnsi="Times New Roman" w:cs="Times New Roman"/>
          <w:b/>
          <w:bCs/>
          <w:sz w:val="28"/>
          <w:szCs w:val="28"/>
        </w:rPr>
      </w:pPr>
      <w:bookmarkStart w:id="4" w:name="_Toc219704646"/>
      <w:bookmarkStart w:id="5" w:name="_Toc226973071"/>
      <w:r w:rsidRPr="000348A8">
        <w:rPr>
          <w:rFonts w:ascii="Times New Roman" w:hAnsi="Times New Roman" w:cs="Times New Roman"/>
          <w:b/>
          <w:bCs/>
          <w:sz w:val="28"/>
          <w:szCs w:val="28"/>
        </w:rPr>
        <w:lastRenderedPageBreak/>
        <w:t>MARCO ESTRATÉGICO INSTITUCIONAL</w:t>
      </w:r>
      <w:bookmarkEnd w:id="4"/>
      <w:bookmarkEnd w:id="5"/>
    </w:p>
    <w:p w14:paraId="42BFEF01" w14:textId="77777777" w:rsidR="00BB02BC" w:rsidRPr="000348A8" w:rsidRDefault="00BB02BC" w:rsidP="00B764E4">
      <w:pPr>
        <w:pStyle w:val="Ttulo2"/>
        <w:spacing w:before="100" w:beforeAutospacing="1" w:after="100" w:afterAutospacing="1"/>
        <w:jc w:val="both"/>
        <w:rPr>
          <w:rFonts w:ascii="Times New Roman" w:hAnsi="Times New Roman" w:cs="Times New Roman"/>
          <w:b/>
          <w:bCs/>
          <w:sz w:val="28"/>
          <w:szCs w:val="28"/>
        </w:rPr>
      </w:pPr>
      <w:bookmarkStart w:id="6" w:name="_Toc90906825"/>
      <w:bookmarkStart w:id="7" w:name="_Toc99362526"/>
      <w:bookmarkStart w:id="8" w:name="_Toc219704647"/>
      <w:bookmarkStart w:id="9" w:name="_Toc226973072"/>
      <w:r w:rsidRPr="000348A8">
        <w:rPr>
          <w:rFonts w:ascii="Times New Roman" w:hAnsi="Times New Roman" w:cs="Times New Roman"/>
          <w:b/>
          <w:bCs/>
          <w:sz w:val="28"/>
          <w:szCs w:val="28"/>
        </w:rPr>
        <w:t>Misión</w:t>
      </w:r>
      <w:bookmarkStart w:id="10" w:name="_Toc90906826"/>
      <w:bookmarkStart w:id="11" w:name="_Toc99362527"/>
      <w:bookmarkStart w:id="12" w:name="_Toc219704648"/>
      <w:bookmarkEnd w:id="6"/>
      <w:bookmarkEnd w:id="7"/>
      <w:bookmarkEnd w:id="8"/>
      <w:bookmarkEnd w:id="9"/>
    </w:p>
    <w:p w14:paraId="5840E3E9" w14:textId="77777777" w:rsidR="00BB02BC" w:rsidRPr="000348A8" w:rsidRDefault="00BB02BC" w:rsidP="00B764E4">
      <w:pPr>
        <w:pStyle w:val="Ttulo2"/>
        <w:spacing w:before="100" w:beforeAutospacing="1" w:after="100" w:afterAutospacing="1"/>
        <w:jc w:val="both"/>
        <w:rPr>
          <w:rFonts w:ascii="Times New Roman" w:eastAsia="Times New Roman" w:hAnsi="Times New Roman" w:cs="Times New Roman"/>
          <w:color w:val="auto"/>
          <w:sz w:val="24"/>
          <w:szCs w:val="24"/>
        </w:rPr>
      </w:pPr>
      <w:bookmarkStart w:id="13" w:name="_Toc226972969"/>
      <w:bookmarkStart w:id="14" w:name="_Toc226973073"/>
      <w:r w:rsidRPr="000348A8">
        <w:rPr>
          <w:rFonts w:ascii="Times New Roman" w:eastAsia="Times New Roman" w:hAnsi="Times New Roman" w:cs="Times New Roman"/>
          <w:color w:val="auto"/>
          <w:sz w:val="24"/>
          <w:szCs w:val="24"/>
        </w:rPr>
        <w:t>Contribuir al desarrollo agropecuario a través de acciones y programas orientados a la eficacia, rentabilidad y competitividad de los productores, mediante una comercialización justa y organizada, que garantice el acceso a alimentos de calidad para todos los consumidores.</w:t>
      </w:r>
      <w:bookmarkEnd w:id="13"/>
      <w:bookmarkEnd w:id="14"/>
    </w:p>
    <w:p w14:paraId="4C7446B9" w14:textId="77777777" w:rsidR="00BB02BC" w:rsidRPr="000348A8" w:rsidRDefault="00BB02BC" w:rsidP="00B764E4">
      <w:pPr>
        <w:pStyle w:val="Ttulo2"/>
        <w:spacing w:before="100" w:beforeAutospacing="1" w:after="100" w:afterAutospacing="1"/>
        <w:rPr>
          <w:rFonts w:ascii="Times New Roman" w:hAnsi="Times New Roman" w:cs="Times New Roman"/>
          <w:b/>
          <w:bCs/>
          <w:sz w:val="28"/>
          <w:szCs w:val="28"/>
        </w:rPr>
      </w:pPr>
      <w:bookmarkStart w:id="15" w:name="_Toc226973074"/>
      <w:r w:rsidRPr="000348A8">
        <w:rPr>
          <w:rFonts w:ascii="Times New Roman" w:hAnsi="Times New Roman" w:cs="Times New Roman"/>
          <w:b/>
          <w:bCs/>
          <w:sz w:val="28"/>
          <w:szCs w:val="28"/>
        </w:rPr>
        <w:t>Visión</w:t>
      </w:r>
      <w:bookmarkEnd w:id="10"/>
      <w:bookmarkEnd w:id="11"/>
      <w:bookmarkEnd w:id="12"/>
      <w:bookmarkEnd w:id="15"/>
    </w:p>
    <w:p w14:paraId="23CA0252" w14:textId="77777777" w:rsidR="00BB02BC" w:rsidRPr="000348A8" w:rsidRDefault="00BB02BC" w:rsidP="00B764E4">
      <w:pPr>
        <w:jc w:val="both"/>
        <w:rPr>
          <w:rFonts w:ascii="Times New Roman" w:hAnsi="Times New Roman"/>
          <w:sz w:val="24"/>
          <w:szCs w:val="24"/>
        </w:rPr>
      </w:pPr>
      <w:r w:rsidRPr="000348A8">
        <w:rPr>
          <w:rFonts w:ascii="Times New Roman" w:hAnsi="Times New Roman"/>
          <w:sz w:val="24"/>
          <w:szCs w:val="24"/>
        </w:rPr>
        <w:t>Una República Dominicana con garantía de seguridad alimentaria, siendo como institución parte de un sistema colaborativo entre instancias públicas y privadas del sector agropecuario.</w:t>
      </w:r>
    </w:p>
    <w:p w14:paraId="17C7D8D6" w14:textId="77777777" w:rsidR="00BB02BC" w:rsidRPr="000348A8" w:rsidRDefault="00BB02BC" w:rsidP="00B764E4">
      <w:pPr>
        <w:pStyle w:val="Ttulo2"/>
        <w:spacing w:before="100" w:beforeAutospacing="1" w:after="100" w:afterAutospacing="1"/>
        <w:rPr>
          <w:rFonts w:ascii="Times New Roman" w:hAnsi="Times New Roman" w:cs="Times New Roman"/>
          <w:b/>
          <w:bCs/>
          <w:sz w:val="28"/>
          <w:szCs w:val="28"/>
        </w:rPr>
      </w:pPr>
      <w:bookmarkStart w:id="16" w:name="_Toc90906827"/>
      <w:bookmarkStart w:id="17" w:name="_Toc99362528"/>
      <w:bookmarkStart w:id="18" w:name="_Toc219704649"/>
      <w:bookmarkStart w:id="19" w:name="_Toc226973075"/>
      <w:r w:rsidRPr="000348A8">
        <w:rPr>
          <w:rFonts w:ascii="Times New Roman" w:hAnsi="Times New Roman" w:cs="Times New Roman"/>
          <w:b/>
          <w:bCs/>
          <w:sz w:val="28"/>
          <w:szCs w:val="28"/>
        </w:rPr>
        <w:t>Valores</w:t>
      </w:r>
      <w:bookmarkEnd w:id="16"/>
      <w:bookmarkEnd w:id="17"/>
      <w:bookmarkEnd w:id="18"/>
      <w:bookmarkEnd w:id="19"/>
    </w:p>
    <w:p w14:paraId="68D6436F" w14:textId="77777777" w:rsidR="00BB02BC" w:rsidRPr="000348A8" w:rsidRDefault="00BB02BC" w:rsidP="00B764E4">
      <w:pPr>
        <w:pStyle w:val="Ttulo2"/>
        <w:numPr>
          <w:ilvl w:val="0"/>
          <w:numId w:val="2"/>
        </w:numPr>
        <w:tabs>
          <w:tab w:val="num" w:pos="360"/>
        </w:tabs>
        <w:spacing w:before="100" w:beforeAutospacing="1" w:after="100" w:afterAutospacing="1"/>
        <w:ind w:left="0" w:firstLine="0"/>
        <w:jc w:val="both"/>
        <w:rPr>
          <w:rFonts w:ascii="Times New Roman" w:eastAsia="Times New Roman" w:hAnsi="Times New Roman" w:cs="Times New Roman"/>
          <w:b/>
          <w:color w:val="auto"/>
          <w:sz w:val="24"/>
          <w:szCs w:val="24"/>
        </w:rPr>
      </w:pPr>
      <w:bookmarkStart w:id="20" w:name="_Toc226972972"/>
      <w:bookmarkStart w:id="21" w:name="_Toc226973076"/>
      <w:r w:rsidRPr="000348A8">
        <w:rPr>
          <w:rFonts w:ascii="Times New Roman" w:eastAsia="Times New Roman" w:hAnsi="Times New Roman" w:cs="Times New Roman"/>
          <w:b/>
          <w:color w:val="auto"/>
          <w:sz w:val="24"/>
          <w:szCs w:val="24"/>
        </w:rPr>
        <w:t>Transparencia</w:t>
      </w:r>
      <w:bookmarkEnd w:id="20"/>
      <w:bookmarkEnd w:id="21"/>
    </w:p>
    <w:p w14:paraId="7EE5F447" w14:textId="77777777" w:rsidR="00BB02BC" w:rsidRPr="000348A8" w:rsidRDefault="00BB02BC" w:rsidP="00B764E4">
      <w:pPr>
        <w:jc w:val="both"/>
        <w:rPr>
          <w:rFonts w:ascii="Times New Roman" w:hAnsi="Times New Roman"/>
          <w:sz w:val="24"/>
          <w:szCs w:val="24"/>
        </w:rPr>
      </w:pPr>
      <w:r w:rsidRPr="000348A8">
        <w:rPr>
          <w:rFonts w:ascii="Times New Roman" w:hAnsi="Times New Roman"/>
          <w:sz w:val="24"/>
          <w:szCs w:val="24"/>
        </w:rPr>
        <w:t>Ejercemos una Contribuir al desarrollo agropecuario a través de acciones y programas orientados a la eficacia, rentabilidad y competitividad de los productores, mediante una comercialización justa y organizada, que garantice el acceso a alimentos de calidad para todos los consumidores</w:t>
      </w:r>
    </w:p>
    <w:p w14:paraId="56D94AC4" w14:textId="77777777" w:rsidR="00BB02BC" w:rsidRPr="000348A8" w:rsidRDefault="00BB02BC" w:rsidP="00B764E4">
      <w:pPr>
        <w:pStyle w:val="Prrafodelista"/>
        <w:numPr>
          <w:ilvl w:val="0"/>
          <w:numId w:val="2"/>
        </w:numPr>
        <w:jc w:val="both"/>
        <w:rPr>
          <w:rFonts w:ascii="Times New Roman" w:hAnsi="Times New Roman"/>
          <w:b/>
          <w:bCs/>
          <w:sz w:val="24"/>
          <w:szCs w:val="24"/>
        </w:rPr>
      </w:pPr>
      <w:r w:rsidRPr="000348A8">
        <w:rPr>
          <w:rFonts w:ascii="Times New Roman" w:hAnsi="Times New Roman"/>
          <w:b/>
          <w:bCs/>
          <w:sz w:val="24"/>
          <w:szCs w:val="24"/>
        </w:rPr>
        <w:t>Innovación</w:t>
      </w:r>
    </w:p>
    <w:p w14:paraId="504ECF89" w14:textId="4390F16F" w:rsidR="00BB02BC" w:rsidRPr="00B764E4" w:rsidRDefault="00BB02BC" w:rsidP="00B764E4">
      <w:pPr>
        <w:jc w:val="both"/>
        <w:rPr>
          <w:rFonts w:ascii="Times New Roman" w:hAnsi="Times New Roman"/>
          <w:sz w:val="24"/>
          <w:szCs w:val="24"/>
        </w:rPr>
      </w:pPr>
      <w:r w:rsidRPr="000348A8">
        <w:rPr>
          <w:rFonts w:ascii="Times New Roman" w:hAnsi="Times New Roman"/>
          <w:sz w:val="24"/>
          <w:szCs w:val="24"/>
        </w:rPr>
        <w:t>Estamos abiertos a las nuevas ideas, conceptos, técnicas y tecnologías, con la firme convicción de ser eficientes en el incremento sostenido de la productividad agropecuaria de la República Dominicana.</w:t>
      </w:r>
      <w:r w:rsidRPr="000348A8">
        <w:rPr>
          <w:rFonts w:ascii="Times New Roman" w:hAnsi="Times New Roman"/>
          <w:b/>
          <w:bCs/>
          <w:sz w:val="24"/>
          <w:szCs w:val="24"/>
        </w:rPr>
        <w:t> </w:t>
      </w:r>
    </w:p>
    <w:p w14:paraId="7A7C8B9D" w14:textId="77777777" w:rsidR="00BB02BC" w:rsidRPr="000348A8" w:rsidRDefault="00BB02BC" w:rsidP="00B764E4">
      <w:pPr>
        <w:pStyle w:val="Prrafodelista"/>
        <w:numPr>
          <w:ilvl w:val="0"/>
          <w:numId w:val="2"/>
        </w:numPr>
        <w:jc w:val="both"/>
        <w:rPr>
          <w:rFonts w:ascii="Times New Roman" w:hAnsi="Times New Roman"/>
          <w:b/>
          <w:bCs/>
          <w:sz w:val="24"/>
          <w:szCs w:val="24"/>
        </w:rPr>
      </w:pPr>
      <w:r w:rsidRPr="000348A8">
        <w:rPr>
          <w:rFonts w:ascii="Times New Roman" w:hAnsi="Times New Roman"/>
          <w:b/>
          <w:bCs/>
          <w:sz w:val="24"/>
          <w:szCs w:val="24"/>
        </w:rPr>
        <w:t>Conocimiento</w:t>
      </w:r>
    </w:p>
    <w:p w14:paraId="24224ACD" w14:textId="2A8AFE13" w:rsidR="00BB02BC" w:rsidRPr="000348A8" w:rsidRDefault="00BB02BC" w:rsidP="00B764E4">
      <w:pPr>
        <w:jc w:val="both"/>
        <w:rPr>
          <w:rFonts w:ascii="Times New Roman" w:hAnsi="Times New Roman"/>
          <w:sz w:val="24"/>
          <w:szCs w:val="24"/>
        </w:rPr>
      </w:pPr>
      <w:r w:rsidRPr="000348A8">
        <w:rPr>
          <w:rFonts w:ascii="Times New Roman" w:hAnsi="Times New Roman"/>
          <w:sz w:val="24"/>
          <w:szCs w:val="24"/>
        </w:rPr>
        <w:t>Creemos en el conocimiento como fundamento del trabajo bien hecho y como base del crecimiento de nuestros recursos.</w:t>
      </w:r>
    </w:p>
    <w:p w14:paraId="5477F1A4" w14:textId="77777777" w:rsidR="00BB02BC" w:rsidRPr="000348A8" w:rsidRDefault="00BB02BC" w:rsidP="00B764E4">
      <w:pPr>
        <w:rPr>
          <w:rFonts w:ascii="Times New Roman" w:hAnsi="Times New Roman"/>
          <w:b/>
          <w:bCs/>
          <w:sz w:val="24"/>
          <w:szCs w:val="24"/>
        </w:rPr>
      </w:pPr>
    </w:p>
    <w:p w14:paraId="36BEC4A1" w14:textId="77777777" w:rsidR="00BB02BC" w:rsidRPr="000348A8" w:rsidRDefault="00BB02BC" w:rsidP="00B764E4">
      <w:pPr>
        <w:pStyle w:val="Prrafodelista"/>
        <w:numPr>
          <w:ilvl w:val="0"/>
          <w:numId w:val="2"/>
        </w:numPr>
        <w:rPr>
          <w:rFonts w:ascii="Times New Roman" w:hAnsi="Times New Roman"/>
          <w:b/>
          <w:bCs/>
          <w:sz w:val="24"/>
          <w:szCs w:val="24"/>
        </w:rPr>
      </w:pPr>
      <w:r w:rsidRPr="000348A8">
        <w:rPr>
          <w:rFonts w:ascii="Times New Roman" w:hAnsi="Times New Roman"/>
          <w:b/>
          <w:bCs/>
          <w:sz w:val="24"/>
          <w:szCs w:val="24"/>
        </w:rPr>
        <w:t>Calidad e Inocuidad</w:t>
      </w:r>
    </w:p>
    <w:p w14:paraId="4F8A2A0E" w14:textId="77777777" w:rsidR="00BB02BC" w:rsidRDefault="00BB02BC" w:rsidP="00B764E4">
      <w:pPr>
        <w:jc w:val="both"/>
        <w:rPr>
          <w:rFonts w:ascii="Times New Roman" w:hAnsi="Times New Roman"/>
          <w:b/>
          <w:bCs/>
          <w:sz w:val="24"/>
          <w:szCs w:val="24"/>
        </w:rPr>
      </w:pPr>
      <w:r w:rsidRPr="000348A8">
        <w:rPr>
          <w:rFonts w:ascii="Times New Roman" w:hAnsi="Times New Roman"/>
          <w:sz w:val="24"/>
          <w:szCs w:val="24"/>
        </w:rPr>
        <w:t>Valoramos y construimos nuestro hacer en base a la calidad, definida como la capacidad de cumplir con los requisitos de nuestros clientes: Productores, consumidores, entidades estatales y privadas. Trabajamos para que al consumidor final le lleguen productos sanos y bien tratados en su producción, almacenamiento y distribución.</w:t>
      </w:r>
      <w:r w:rsidRPr="000348A8">
        <w:rPr>
          <w:rFonts w:ascii="Times New Roman" w:hAnsi="Times New Roman"/>
          <w:b/>
          <w:bCs/>
          <w:sz w:val="24"/>
          <w:szCs w:val="24"/>
        </w:rPr>
        <w:t> </w:t>
      </w:r>
    </w:p>
    <w:p w14:paraId="4A638908" w14:textId="77777777" w:rsidR="00B764E4" w:rsidRPr="000348A8" w:rsidRDefault="00B764E4" w:rsidP="00B764E4">
      <w:pPr>
        <w:jc w:val="both"/>
        <w:rPr>
          <w:rFonts w:ascii="Times New Roman" w:hAnsi="Times New Roman"/>
          <w:sz w:val="24"/>
          <w:szCs w:val="24"/>
        </w:rPr>
      </w:pPr>
    </w:p>
    <w:p w14:paraId="027C4590" w14:textId="77777777" w:rsidR="00BB02BC" w:rsidRPr="000348A8" w:rsidRDefault="00BB02BC" w:rsidP="00B764E4">
      <w:pPr>
        <w:pStyle w:val="Prrafodelista"/>
        <w:numPr>
          <w:ilvl w:val="0"/>
          <w:numId w:val="2"/>
        </w:numPr>
        <w:jc w:val="both"/>
        <w:rPr>
          <w:rFonts w:ascii="Times New Roman" w:hAnsi="Times New Roman"/>
          <w:b/>
          <w:bCs/>
          <w:sz w:val="24"/>
          <w:szCs w:val="24"/>
        </w:rPr>
      </w:pPr>
      <w:r w:rsidRPr="000348A8">
        <w:rPr>
          <w:rFonts w:ascii="Times New Roman" w:hAnsi="Times New Roman"/>
          <w:b/>
          <w:bCs/>
          <w:sz w:val="24"/>
          <w:szCs w:val="24"/>
        </w:rPr>
        <w:lastRenderedPageBreak/>
        <w:t>Apego al Servicio</w:t>
      </w:r>
    </w:p>
    <w:p w14:paraId="74855D0E" w14:textId="77777777" w:rsidR="00BB02BC" w:rsidRPr="008D4C23" w:rsidRDefault="00BB02BC" w:rsidP="00B764E4">
      <w:pPr>
        <w:jc w:val="both"/>
        <w:rPr>
          <w:rFonts w:ascii="Arial" w:hAnsi="Arial" w:cs="Arial"/>
        </w:rPr>
      </w:pPr>
      <w:r w:rsidRPr="000348A8">
        <w:rPr>
          <w:rFonts w:ascii="Times New Roman" w:hAnsi="Times New Roman"/>
          <w:sz w:val="24"/>
          <w:szCs w:val="24"/>
        </w:rPr>
        <w:t>Creemos fielmente que nuestra gestión es trascendente. La Institución está llamada a servir, a apoyar el resultado eficiente, el desarrollo de las personas y a ser empáticos desde la mirada del productor, del consumidor y de todas las instituciones estatales y privadas que impactan nuestro</w:t>
      </w:r>
      <w:r w:rsidRPr="008D4C23">
        <w:rPr>
          <w:rFonts w:ascii="Arial" w:hAnsi="Arial" w:cs="Arial"/>
        </w:rPr>
        <w:t xml:space="preserve"> propósito. Somos una institución al servicio de la Sociedad dominicana</w:t>
      </w:r>
    </w:p>
    <w:p w14:paraId="012756B3" w14:textId="77777777" w:rsidR="00BB02BC" w:rsidRDefault="00BB02BC" w:rsidP="00B764E4"/>
    <w:p w14:paraId="1A645B7D" w14:textId="77777777" w:rsidR="00BB02BC" w:rsidRDefault="00BB02BC"/>
    <w:p w14:paraId="5812DAAA" w14:textId="77777777" w:rsidR="00BB02BC" w:rsidRDefault="00BB02BC"/>
    <w:p w14:paraId="5C2036FC" w14:textId="77777777" w:rsidR="00BB02BC" w:rsidRDefault="00BB02BC"/>
    <w:p w14:paraId="332776A7" w14:textId="77777777" w:rsidR="00BB02BC" w:rsidRDefault="00BB02BC"/>
    <w:p w14:paraId="15DD5AD3" w14:textId="77777777" w:rsidR="00BB02BC" w:rsidRDefault="00BB02BC"/>
    <w:p w14:paraId="7242527F" w14:textId="77777777" w:rsidR="00BB02BC" w:rsidRDefault="00BB02BC"/>
    <w:p w14:paraId="27C05211" w14:textId="77777777" w:rsidR="00BB02BC" w:rsidRDefault="00BB02BC"/>
    <w:p w14:paraId="3E89F7DA" w14:textId="77777777" w:rsidR="00BB02BC" w:rsidRDefault="00BB02BC"/>
    <w:p w14:paraId="21CA2D61" w14:textId="77777777" w:rsidR="00B764E4" w:rsidRDefault="00B764E4"/>
    <w:p w14:paraId="5DABF67C" w14:textId="77777777" w:rsidR="00B764E4" w:rsidRDefault="00B764E4"/>
    <w:p w14:paraId="2F1C1DC3" w14:textId="77777777" w:rsidR="00B764E4" w:rsidRDefault="00B764E4"/>
    <w:p w14:paraId="169D7628" w14:textId="77777777" w:rsidR="00B764E4" w:rsidRDefault="00B764E4"/>
    <w:p w14:paraId="45A13044" w14:textId="77777777" w:rsidR="00B764E4" w:rsidRDefault="00B764E4"/>
    <w:p w14:paraId="59BE9AE2" w14:textId="77777777" w:rsidR="00B764E4" w:rsidRDefault="00B764E4"/>
    <w:p w14:paraId="0013A410" w14:textId="77777777" w:rsidR="00B764E4" w:rsidRDefault="00B764E4"/>
    <w:p w14:paraId="16430D08" w14:textId="77777777" w:rsidR="00B764E4" w:rsidRDefault="00B764E4"/>
    <w:p w14:paraId="7B036AF0" w14:textId="77777777" w:rsidR="00BB02BC" w:rsidRDefault="00BB02BC"/>
    <w:p w14:paraId="7AA8C537" w14:textId="77777777" w:rsidR="00BB02BC" w:rsidRDefault="00BB02BC"/>
    <w:p w14:paraId="55712CE0" w14:textId="77777777" w:rsidR="00BB02BC" w:rsidRDefault="00BB02BC"/>
    <w:p w14:paraId="0B940740" w14:textId="0CA01D67" w:rsidR="00BB02BC" w:rsidRPr="00B764E4" w:rsidRDefault="00BB02BC" w:rsidP="00BB02BC">
      <w:pPr>
        <w:pStyle w:val="Ttulo1"/>
        <w:numPr>
          <w:ilvl w:val="0"/>
          <w:numId w:val="1"/>
        </w:numPr>
        <w:ind w:left="0"/>
        <w:rPr>
          <w:rFonts w:ascii="Times New Roman" w:hAnsi="Times New Roman" w:cs="Times New Roman"/>
          <w:b/>
          <w:bCs/>
          <w:sz w:val="28"/>
          <w:szCs w:val="28"/>
        </w:rPr>
      </w:pPr>
      <w:bookmarkStart w:id="22" w:name="_Toc108528663"/>
      <w:bookmarkStart w:id="23" w:name="_Toc210811703"/>
      <w:bookmarkStart w:id="24" w:name="_Toc219376944"/>
      <w:bookmarkStart w:id="25" w:name="_Toc226973077"/>
      <w:r w:rsidRPr="00B764E4">
        <w:rPr>
          <w:rFonts w:ascii="Times New Roman" w:hAnsi="Times New Roman" w:cs="Times New Roman"/>
          <w:b/>
          <w:bCs/>
          <w:sz w:val="28"/>
          <w:szCs w:val="28"/>
        </w:rPr>
        <w:lastRenderedPageBreak/>
        <w:t>Desempeño del Plan Operativo Anual Institucional 202</w:t>
      </w:r>
      <w:bookmarkEnd w:id="22"/>
      <w:bookmarkEnd w:id="23"/>
      <w:bookmarkEnd w:id="24"/>
      <w:r w:rsidR="003161FE">
        <w:rPr>
          <w:rFonts w:ascii="Times New Roman" w:hAnsi="Times New Roman" w:cs="Times New Roman"/>
          <w:b/>
          <w:bCs/>
          <w:sz w:val="28"/>
          <w:szCs w:val="28"/>
        </w:rPr>
        <w:t>6</w:t>
      </w:r>
      <w:bookmarkEnd w:id="25"/>
    </w:p>
    <w:p w14:paraId="48F0B04D" w14:textId="3210C44E" w:rsidR="00BB02BC" w:rsidRPr="00BA6F83" w:rsidRDefault="00BC6F6D" w:rsidP="00B764E4">
      <w:pPr>
        <w:jc w:val="both"/>
        <w:rPr>
          <w:rFonts w:ascii="Times New Roman" w:hAnsi="Times New Roman"/>
        </w:rPr>
      </w:pPr>
      <w:r w:rsidRPr="00BA6F83">
        <w:rPr>
          <w:rFonts w:ascii="Times New Roman" w:hAnsi="Times New Roman"/>
        </w:rPr>
        <w:t xml:space="preserve">La evaluación y análisis del desempeño institucional para el </w:t>
      </w:r>
      <w:r w:rsidRPr="00BA6F83">
        <w:rPr>
          <w:rFonts w:ascii="Times New Roman" w:hAnsi="Times New Roman"/>
          <w:b/>
          <w:bCs/>
        </w:rPr>
        <w:t>período enero–marzo de 2026</w:t>
      </w:r>
      <w:r w:rsidRPr="00BA6F83">
        <w:rPr>
          <w:rFonts w:ascii="Times New Roman" w:hAnsi="Times New Roman"/>
        </w:rPr>
        <w:t xml:space="preserve"> se fundamenta en el seguimiento técnico y la ejecución de los productos e indicadores definidos en el Plan Operativo Anual (POA) 2026.</w:t>
      </w:r>
    </w:p>
    <w:tbl>
      <w:tblPr>
        <w:tblpPr w:leftFromText="141" w:rightFromText="141" w:vertAnchor="text" w:horzAnchor="margin" w:tblpXSpec="center" w:tblpY="717"/>
        <w:tblW w:w="9739" w:type="dxa"/>
        <w:tblCellMar>
          <w:left w:w="70" w:type="dxa"/>
          <w:right w:w="70" w:type="dxa"/>
        </w:tblCellMar>
        <w:tblLook w:val="04A0" w:firstRow="1" w:lastRow="0" w:firstColumn="1" w:lastColumn="0" w:noHBand="0" w:noVBand="1"/>
      </w:tblPr>
      <w:tblGrid>
        <w:gridCol w:w="993"/>
        <w:gridCol w:w="6362"/>
        <w:gridCol w:w="2384"/>
      </w:tblGrid>
      <w:tr w:rsidR="004C0DD3" w:rsidRPr="00E40C0B" w14:paraId="4F567DD3" w14:textId="77777777" w:rsidTr="000348A8">
        <w:trPr>
          <w:trHeight w:val="339"/>
        </w:trPr>
        <w:tc>
          <w:tcPr>
            <w:tcW w:w="993" w:type="dxa"/>
            <w:tcBorders>
              <w:top w:val="single" w:sz="8" w:space="0" w:color="auto"/>
              <w:left w:val="single" w:sz="8" w:space="0" w:color="auto"/>
              <w:bottom w:val="single" w:sz="8" w:space="0" w:color="auto"/>
              <w:right w:val="single" w:sz="8" w:space="0" w:color="auto"/>
            </w:tcBorders>
            <w:shd w:val="clear" w:color="000000" w:fill="808080"/>
            <w:noWrap/>
            <w:vAlign w:val="bottom"/>
            <w:hideMark/>
          </w:tcPr>
          <w:p w14:paraId="45B2D182" w14:textId="77777777" w:rsidR="004C0DD3" w:rsidRPr="00E40C0B" w:rsidRDefault="004C0DD3" w:rsidP="004C0DD3">
            <w:pPr>
              <w:spacing w:after="0" w:line="240" w:lineRule="auto"/>
              <w:jc w:val="center"/>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No.</w:t>
            </w:r>
          </w:p>
        </w:tc>
        <w:tc>
          <w:tcPr>
            <w:tcW w:w="6362" w:type="dxa"/>
            <w:tcBorders>
              <w:top w:val="single" w:sz="8" w:space="0" w:color="auto"/>
              <w:left w:val="nil"/>
              <w:bottom w:val="single" w:sz="8" w:space="0" w:color="auto"/>
              <w:right w:val="single" w:sz="8" w:space="0" w:color="auto"/>
            </w:tcBorders>
            <w:shd w:val="clear" w:color="000000" w:fill="808080"/>
            <w:noWrap/>
            <w:vAlign w:val="bottom"/>
            <w:hideMark/>
          </w:tcPr>
          <w:p w14:paraId="781C5219" w14:textId="77777777" w:rsidR="004C0DD3" w:rsidRPr="00E40C0B" w:rsidRDefault="004C0DD3" w:rsidP="004C0DD3">
            <w:pPr>
              <w:spacing w:after="0" w:line="240" w:lineRule="auto"/>
              <w:jc w:val="center"/>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Departamentos</w:t>
            </w:r>
          </w:p>
        </w:tc>
        <w:tc>
          <w:tcPr>
            <w:tcW w:w="2384" w:type="dxa"/>
            <w:tcBorders>
              <w:top w:val="single" w:sz="8" w:space="0" w:color="auto"/>
              <w:left w:val="nil"/>
              <w:bottom w:val="single" w:sz="8" w:space="0" w:color="auto"/>
              <w:right w:val="single" w:sz="8" w:space="0" w:color="auto"/>
            </w:tcBorders>
            <w:shd w:val="clear" w:color="000000" w:fill="808080"/>
            <w:noWrap/>
            <w:vAlign w:val="bottom"/>
            <w:hideMark/>
          </w:tcPr>
          <w:p w14:paraId="71867C2B" w14:textId="77777777" w:rsidR="004C0DD3" w:rsidRPr="00E40C0B" w:rsidRDefault="004C0DD3" w:rsidP="004C0DD3">
            <w:pPr>
              <w:spacing w:after="0" w:line="240" w:lineRule="auto"/>
              <w:jc w:val="center"/>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 Cumplimiento</w:t>
            </w:r>
          </w:p>
        </w:tc>
      </w:tr>
      <w:tr w:rsidR="004C0DD3" w:rsidRPr="00E40C0B" w14:paraId="21BD3D3D"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4425D966"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w:t>
            </w:r>
          </w:p>
        </w:tc>
        <w:tc>
          <w:tcPr>
            <w:tcW w:w="6362" w:type="dxa"/>
            <w:tcBorders>
              <w:top w:val="nil"/>
              <w:left w:val="nil"/>
              <w:bottom w:val="single" w:sz="8" w:space="0" w:color="auto"/>
              <w:right w:val="single" w:sz="8" w:space="0" w:color="auto"/>
            </w:tcBorders>
            <w:noWrap/>
            <w:vAlign w:val="bottom"/>
            <w:hideMark/>
          </w:tcPr>
          <w:p w14:paraId="7B11FE69"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Ejecutiva</w:t>
            </w:r>
          </w:p>
        </w:tc>
        <w:tc>
          <w:tcPr>
            <w:tcW w:w="2384" w:type="dxa"/>
            <w:tcBorders>
              <w:top w:val="nil"/>
              <w:left w:val="nil"/>
              <w:bottom w:val="single" w:sz="8" w:space="0" w:color="auto"/>
              <w:right w:val="single" w:sz="8" w:space="0" w:color="auto"/>
            </w:tcBorders>
            <w:noWrap/>
            <w:vAlign w:val="bottom"/>
            <w:hideMark/>
          </w:tcPr>
          <w:p w14:paraId="7C59F29C"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6DF1C2B1"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73E31CA8"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2</w:t>
            </w:r>
          </w:p>
        </w:tc>
        <w:tc>
          <w:tcPr>
            <w:tcW w:w="6362" w:type="dxa"/>
            <w:tcBorders>
              <w:top w:val="nil"/>
              <w:left w:val="nil"/>
              <w:bottom w:val="single" w:sz="8" w:space="0" w:color="auto"/>
              <w:right w:val="single" w:sz="8" w:space="0" w:color="auto"/>
            </w:tcBorders>
            <w:noWrap/>
            <w:vAlign w:val="bottom"/>
            <w:hideMark/>
          </w:tcPr>
          <w:p w14:paraId="6ACF4E84"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de Abastecimiento, Distribución y Logística</w:t>
            </w:r>
          </w:p>
        </w:tc>
        <w:tc>
          <w:tcPr>
            <w:tcW w:w="2384" w:type="dxa"/>
            <w:tcBorders>
              <w:top w:val="nil"/>
              <w:left w:val="nil"/>
              <w:bottom w:val="single" w:sz="8" w:space="0" w:color="auto"/>
              <w:right w:val="single" w:sz="8" w:space="0" w:color="auto"/>
            </w:tcBorders>
            <w:noWrap/>
            <w:vAlign w:val="bottom"/>
            <w:hideMark/>
          </w:tcPr>
          <w:p w14:paraId="2E0416F7"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6158B409"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6EC6ECA5"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3</w:t>
            </w:r>
          </w:p>
        </w:tc>
        <w:tc>
          <w:tcPr>
            <w:tcW w:w="6362" w:type="dxa"/>
            <w:tcBorders>
              <w:top w:val="nil"/>
              <w:left w:val="nil"/>
              <w:bottom w:val="single" w:sz="8" w:space="0" w:color="auto"/>
              <w:right w:val="single" w:sz="8" w:space="0" w:color="auto"/>
            </w:tcBorders>
            <w:noWrap/>
            <w:vAlign w:val="bottom"/>
            <w:hideMark/>
          </w:tcPr>
          <w:p w14:paraId="607168F4"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de Normas, Sistemas, Supervisión y Seguimiento</w:t>
            </w:r>
          </w:p>
        </w:tc>
        <w:tc>
          <w:tcPr>
            <w:tcW w:w="2384" w:type="dxa"/>
            <w:tcBorders>
              <w:top w:val="nil"/>
              <w:left w:val="nil"/>
              <w:bottom w:val="single" w:sz="8" w:space="0" w:color="auto"/>
              <w:right w:val="single" w:sz="8" w:space="0" w:color="auto"/>
            </w:tcBorders>
            <w:noWrap/>
            <w:vAlign w:val="bottom"/>
            <w:hideMark/>
          </w:tcPr>
          <w:p w14:paraId="79D451F2"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54D969FC"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22FFB8AE"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4</w:t>
            </w:r>
          </w:p>
        </w:tc>
        <w:tc>
          <w:tcPr>
            <w:tcW w:w="6362" w:type="dxa"/>
            <w:tcBorders>
              <w:top w:val="nil"/>
              <w:left w:val="nil"/>
              <w:bottom w:val="single" w:sz="8" w:space="0" w:color="auto"/>
              <w:right w:val="single" w:sz="8" w:space="0" w:color="auto"/>
            </w:tcBorders>
            <w:noWrap/>
            <w:vAlign w:val="bottom"/>
            <w:hideMark/>
          </w:tcPr>
          <w:p w14:paraId="475CA4E8"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de Seguridad Militar</w:t>
            </w:r>
          </w:p>
        </w:tc>
        <w:tc>
          <w:tcPr>
            <w:tcW w:w="2384" w:type="dxa"/>
            <w:tcBorders>
              <w:top w:val="nil"/>
              <w:left w:val="nil"/>
              <w:bottom w:val="single" w:sz="8" w:space="0" w:color="auto"/>
              <w:right w:val="single" w:sz="8" w:space="0" w:color="auto"/>
            </w:tcBorders>
            <w:noWrap/>
            <w:vAlign w:val="bottom"/>
            <w:hideMark/>
          </w:tcPr>
          <w:p w14:paraId="482F2CE0"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7DF7D453"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33C3D5DE"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5</w:t>
            </w:r>
          </w:p>
        </w:tc>
        <w:tc>
          <w:tcPr>
            <w:tcW w:w="6362" w:type="dxa"/>
            <w:tcBorders>
              <w:top w:val="nil"/>
              <w:left w:val="nil"/>
              <w:bottom w:val="single" w:sz="8" w:space="0" w:color="auto"/>
              <w:right w:val="single" w:sz="8" w:space="0" w:color="auto"/>
            </w:tcBorders>
            <w:noWrap/>
            <w:vAlign w:val="bottom"/>
            <w:hideMark/>
          </w:tcPr>
          <w:p w14:paraId="7AF08002"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de Libre Acceso a la Información</w:t>
            </w:r>
          </w:p>
        </w:tc>
        <w:tc>
          <w:tcPr>
            <w:tcW w:w="2384" w:type="dxa"/>
            <w:tcBorders>
              <w:top w:val="nil"/>
              <w:left w:val="nil"/>
              <w:bottom w:val="single" w:sz="8" w:space="0" w:color="auto"/>
              <w:right w:val="single" w:sz="8" w:space="0" w:color="auto"/>
            </w:tcBorders>
            <w:noWrap/>
            <w:vAlign w:val="bottom"/>
            <w:hideMark/>
          </w:tcPr>
          <w:p w14:paraId="776BCF2C"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429ADDFF"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27997269"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6</w:t>
            </w:r>
          </w:p>
        </w:tc>
        <w:tc>
          <w:tcPr>
            <w:tcW w:w="6362" w:type="dxa"/>
            <w:tcBorders>
              <w:top w:val="nil"/>
              <w:left w:val="nil"/>
              <w:bottom w:val="single" w:sz="8" w:space="0" w:color="auto"/>
              <w:right w:val="single" w:sz="8" w:space="0" w:color="auto"/>
            </w:tcBorders>
            <w:noWrap/>
            <w:vAlign w:val="bottom"/>
            <w:hideMark/>
          </w:tcPr>
          <w:p w14:paraId="44C6DC2B"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de Comunicaciones</w:t>
            </w:r>
          </w:p>
        </w:tc>
        <w:tc>
          <w:tcPr>
            <w:tcW w:w="2384" w:type="dxa"/>
            <w:tcBorders>
              <w:top w:val="nil"/>
              <w:left w:val="nil"/>
              <w:bottom w:val="single" w:sz="8" w:space="0" w:color="auto"/>
              <w:right w:val="single" w:sz="8" w:space="0" w:color="auto"/>
            </w:tcBorders>
            <w:noWrap/>
            <w:vAlign w:val="bottom"/>
            <w:hideMark/>
          </w:tcPr>
          <w:p w14:paraId="1BF9360A"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106BFE07"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4A435A99"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7</w:t>
            </w:r>
          </w:p>
        </w:tc>
        <w:tc>
          <w:tcPr>
            <w:tcW w:w="6362" w:type="dxa"/>
            <w:tcBorders>
              <w:top w:val="nil"/>
              <w:left w:val="nil"/>
              <w:bottom w:val="single" w:sz="8" w:space="0" w:color="auto"/>
              <w:right w:val="single" w:sz="8" w:space="0" w:color="auto"/>
            </w:tcBorders>
            <w:noWrap/>
            <w:vAlign w:val="bottom"/>
            <w:hideMark/>
          </w:tcPr>
          <w:p w14:paraId="14F78D0E"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División de Protocolo</w:t>
            </w:r>
          </w:p>
        </w:tc>
        <w:tc>
          <w:tcPr>
            <w:tcW w:w="2384" w:type="dxa"/>
            <w:tcBorders>
              <w:top w:val="nil"/>
              <w:left w:val="nil"/>
              <w:bottom w:val="single" w:sz="8" w:space="0" w:color="auto"/>
              <w:right w:val="single" w:sz="8" w:space="0" w:color="auto"/>
            </w:tcBorders>
            <w:noWrap/>
            <w:vAlign w:val="bottom"/>
            <w:hideMark/>
          </w:tcPr>
          <w:p w14:paraId="77EB1405"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100%</w:t>
            </w:r>
          </w:p>
        </w:tc>
      </w:tr>
      <w:tr w:rsidR="004C0DD3" w:rsidRPr="00E40C0B" w14:paraId="6A4A9C76"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19FD0FE9"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8</w:t>
            </w:r>
          </w:p>
        </w:tc>
        <w:tc>
          <w:tcPr>
            <w:tcW w:w="6362" w:type="dxa"/>
            <w:tcBorders>
              <w:top w:val="nil"/>
              <w:left w:val="nil"/>
              <w:bottom w:val="single" w:sz="8" w:space="0" w:color="auto"/>
              <w:right w:val="single" w:sz="8" w:space="0" w:color="auto"/>
            </w:tcBorders>
            <w:noWrap/>
            <w:vAlign w:val="bottom"/>
            <w:hideMark/>
          </w:tcPr>
          <w:p w14:paraId="1C582E6B"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de Planificación y Desarrollo</w:t>
            </w:r>
          </w:p>
        </w:tc>
        <w:tc>
          <w:tcPr>
            <w:tcW w:w="2384" w:type="dxa"/>
            <w:tcBorders>
              <w:top w:val="nil"/>
              <w:left w:val="nil"/>
              <w:bottom w:val="single" w:sz="8" w:space="0" w:color="auto"/>
              <w:right w:val="single" w:sz="8" w:space="0" w:color="auto"/>
            </w:tcBorders>
            <w:noWrap/>
            <w:vAlign w:val="bottom"/>
            <w:hideMark/>
          </w:tcPr>
          <w:p w14:paraId="7DF9915D"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92%</w:t>
            </w:r>
          </w:p>
        </w:tc>
      </w:tr>
      <w:tr w:rsidR="004C0DD3" w:rsidRPr="00E40C0B" w14:paraId="142260BE"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4B61487D"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9</w:t>
            </w:r>
          </w:p>
        </w:tc>
        <w:tc>
          <w:tcPr>
            <w:tcW w:w="6362" w:type="dxa"/>
            <w:tcBorders>
              <w:top w:val="nil"/>
              <w:left w:val="nil"/>
              <w:bottom w:val="single" w:sz="8" w:space="0" w:color="auto"/>
              <w:right w:val="single" w:sz="8" w:space="0" w:color="auto"/>
            </w:tcBorders>
            <w:noWrap/>
            <w:vAlign w:val="bottom"/>
            <w:hideMark/>
          </w:tcPr>
          <w:p w14:paraId="6E26B348"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de Recursos Humanos</w:t>
            </w:r>
          </w:p>
        </w:tc>
        <w:tc>
          <w:tcPr>
            <w:tcW w:w="2384" w:type="dxa"/>
            <w:tcBorders>
              <w:top w:val="nil"/>
              <w:left w:val="nil"/>
              <w:bottom w:val="single" w:sz="8" w:space="0" w:color="auto"/>
              <w:right w:val="single" w:sz="8" w:space="0" w:color="auto"/>
            </w:tcBorders>
            <w:noWrap/>
            <w:vAlign w:val="bottom"/>
            <w:hideMark/>
          </w:tcPr>
          <w:p w14:paraId="5DB8C31F"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91%</w:t>
            </w:r>
          </w:p>
        </w:tc>
      </w:tr>
      <w:tr w:rsidR="004C0DD3" w:rsidRPr="00E40C0B" w14:paraId="4E788652"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05E622C2"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10</w:t>
            </w:r>
          </w:p>
        </w:tc>
        <w:tc>
          <w:tcPr>
            <w:tcW w:w="6362" w:type="dxa"/>
            <w:tcBorders>
              <w:top w:val="nil"/>
              <w:left w:val="nil"/>
              <w:bottom w:val="single" w:sz="8" w:space="0" w:color="auto"/>
              <w:right w:val="single" w:sz="8" w:space="0" w:color="auto"/>
            </w:tcBorders>
            <w:noWrap/>
            <w:vAlign w:val="bottom"/>
            <w:hideMark/>
          </w:tcPr>
          <w:p w14:paraId="68D015C3"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de Comercialización</w:t>
            </w:r>
          </w:p>
        </w:tc>
        <w:tc>
          <w:tcPr>
            <w:tcW w:w="2384" w:type="dxa"/>
            <w:tcBorders>
              <w:top w:val="nil"/>
              <w:left w:val="nil"/>
              <w:bottom w:val="single" w:sz="8" w:space="0" w:color="auto"/>
              <w:right w:val="single" w:sz="8" w:space="0" w:color="auto"/>
            </w:tcBorders>
            <w:noWrap/>
            <w:vAlign w:val="bottom"/>
            <w:hideMark/>
          </w:tcPr>
          <w:p w14:paraId="11DFB6E7"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90%</w:t>
            </w:r>
          </w:p>
        </w:tc>
      </w:tr>
      <w:tr w:rsidR="004C0DD3" w:rsidRPr="00E40C0B" w14:paraId="28DA5D89"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00C5DFCB"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11</w:t>
            </w:r>
          </w:p>
        </w:tc>
        <w:tc>
          <w:tcPr>
            <w:tcW w:w="6362" w:type="dxa"/>
            <w:tcBorders>
              <w:top w:val="nil"/>
              <w:left w:val="nil"/>
              <w:bottom w:val="single" w:sz="8" w:space="0" w:color="auto"/>
              <w:right w:val="single" w:sz="8" w:space="0" w:color="auto"/>
            </w:tcBorders>
            <w:noWrap/>
            <w:vAlign w:val="bottom"/>
            <w:hideMark/>
          </w:tcPr>
          <w:p w14:paraId="422726B8"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de Gestión de Programa</w:t>
            </w:r>
          </w:p>
        </w:tc>
        <w:tc>
          <w:tcPr>
            <w:tcW w:w="2384" w:type="dxa"/>
            <w:tcBorders>
              <w:top w:val="nil"/>
              <w:left w:val="nil"/>
              <w:bottom w:val="single" w:sz="8" w:space="0" w:color="auto"/>
              <w:right w:val="single" w:sz="8" w:space="0" w:color="auto"/>
            </w:tcBorders>
            <w:noWrap/>
            <w:vAlign w:val="bottom"/>
            <w:hideMark/>
          </w:tcPr>
          <w:p w14:paraId="73052E9E"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80%</w:t>
            </w:r>
          </w:p>
        </w:tc>
      </w:tr>
      <w:tr w:rsidR="004C0DD3" w:rsidRPr="00E40C0B" w14:paraId="76A710F0"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5C43073E"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12</w:t>
            </w:r>
          </w:p>
        </w:tc>
        <w:tc>
          <w:tcPr>
            <w:tcW w:w="6362" w:type="dxa"/>
            <w:tcBorders>
              <w:top w:val="nil"/>
              <w:left w:val="nil"/>
              <w:bottom w:val="single" w:sz="8" w:space="0" w:color="auto"/>
              <w:right w:val="single" w:sz="8" w:space="0" w:color="auto"/>
            </w:tcBorders>
            <w:shd w:val="clear" w:color="000000" w:fill="FFFFFF"/>
            <w:noWrap/>
            <w:vAlign w:val="bottom"/>
            <w:hideMark/>
          </w:tcPr>
          <w:p w14:paraId="1279B163"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de Tecnologías de la Información y Comunicación</w:t>
            </w:r>
          </w:p>
        </w:tc>
        <w:tc>
          <w:tcPr>
            <w:tcW w:w="2384" w:type="dxa"/>
            <w:tcBorders>
              <w:top w:val="nil"/>
              <w:left w:val="nil"/>
              <w:bottom w:val="single" w:sz="8" w:space="0" w:color="auto"/>
              <w:right w:val="single" w:sz="8" w:space="0" w:color="auto"/>
            </w:tcBorders>
            <w:noWrap/>
            <w:vAlign w:val="bottom"/>
            <w:hideMark/>
          </w:tcPr>
          <w:p w14:paraId="6196F0F7"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67%</w:t>
            </w:r>
          </w:p>
        </w:tc>
      </w:tr>
      <w:tr w:rsidR="004C0DD3" w:rsidRPr="00E40C0B" w14:paraId="78F87D63"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0241C5E5"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13</w:t>
            </w:r>
          </w:p>
        </w:tc>
        <w:tc>
          <w:tcPr>
            <w:tcW w:w="6362" w:type="dxa"/>
            <w:tcBorders>
              <w:top w:val="nil"/>
              <w:left w:val="nil"/>
              <w:bottom w:val="single" w:sz="8" w:space="0" w:color="auto"/>
              <w:right w:val="single" w:sz="8" w:space="0" w:color="auto"/>
            </w:tcBorders>
            <w:noWrap/>
            <w:vAlign w:val="bottom"/>
            <w:hideMark/>
          </w:tcPr>
          <w:p w14:paraId="30519BAA"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Departamento Jurídico</w:t>
            </w:r>
          </w:p>
        </w:tc>
        <w:tc>
          <w:tcPr>
            <w:tcW w:w="2384" w:type="dxa"/>
            <w:tcBorders>
              <w:top w:val="nil"/>
              <w:left w:val="nil"/>
              <w:bottom w:val="single" w:sz="8" w:space="0" w:color="auto"/>
              <w:right w:val="single" w:sz="8" w:space="0" w:color="auto"/>
            </w:tcBorders>
            <w:noWrap/>
            <w:vAlign w:val="bottom"/>
            <w:hideMark/>
          </w:tcPr>
          <w:p w14:paraId="45CD8873"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67%</w:t>
            </w:r>
          </w:p>
        </w:tc>
      </w:tr>
      <w:tr w:rsidR="004C0DD3" w:rsidRPr="00E40C0B" w14:paraId="0AE43259"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6FEF4875"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14</w:t>
            </w:r>
          </w:p>
        </w:tc>
        <w:tc>
          <w:tcPr>
            <w:tcW w:w="6362" w:type="dxa"/>
            <w:tcBorders>
              <w:top w:val="nil"/>
              <w:left w:val="nil"/>
              <w:bottom w:val="single" w:sz="8" w:space="0" w:color="auto"/>
              <w:right w:val="single" w:sz="8" w:space="0" w:color="auto"/>
            </w:tcBorders>
            <w:noWrap/>
            <w:vAlign w:val="bottom"/>
            <w:hideMark/>
          </w:tcPr>
          <w:p w14:paraId="49BB9655"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Administrativa Financiera</w:t>
            </w:r>
          </w:p>
        </w:tc>
        <w:tc>
          <w:tcPr>
            <w:tcW w:w="2384" w:type="dxa"/>
            <w:tcBorders>
              <w:top w:val="nil"/>
              <w:left w:val="nil"/>
              <w:bottom w:val="single" w:sz="8" w:space="0" w:color="auto"/>
              <w:right w:val="single" w:sz="8" w:space="0" w:color="auto"/>
            </w:tcBorders>
            <w:noWrap/>
            <w:vAlign w:val="bottom"/>
            <w:hideMark/>
          </w:tcPr>
          <w:p w14:paraId="3C830F06" w14:textId="38B42355"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5</w:t>
            </w:r>
            <w:r w:rsidR="005516B3">
              <w:rPr>
                <w:rFonts w:ascii="Times New Roman" w:hAnsi="Times New Roman"/>
                <w:color w:val="000000"/>
                <w:sz w:val="24"/>
                <w:szCs w:val="24"/>
                <w:lang w:eastAsia="es-DO"/>
              </w:rPr>
              <w:t>3</w:t>
            </w:r>
            <w:r w:rsidRPr="00E40C0B">
              <w:rPr>
                <w:rFonts w:ascii="Times New Roman" w:hAnsi="Times New Roman"/>
                <w:color w:val="000000"/>
                <w:sz w:val="24"/>
                <w:szCs w:val="24"/>
                <w:lang w:eastAsia="es-DO"/>
              </w:rPr>
              <w:t>%</w:t>
            </w:r>
          </w:p>
        </w:tc>
      </w:tr>
      <w:tr w:rsidR="004C0DD3" w:rsidRPr="00E40C0B" w14:paraId="74A16675" w14:textId="77777777" w:rsidTr="000348A8">
        <w:trPr>
          <w:trHeight w:val="339"/>
        </w:trPr>
        <w:tc>
          <w:tcPr>
            <w:tcW w:w="993" w:type="dxa"/>
            <w:tcBorders>
              <w:top w:val="nil"/>
              <w:left w:val="single" w:sz="8" w:space="0" w:color="auto"/>
              <w:bottom w:val="single" w:sz="8" w:space="0" w:color="auto"/>
              <w:right w:val="single" w:sz="8" w:space="0" w:color="auto"/>
            </w:tcBorders>
            <w:noWrap/>
            <w:vAlign w:val="bottom"/>
            <w:hideMark/>
          </w:tcPr>
          <w:p w14:paraId="6F6C39A6"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15</w:t>
            </w:r>
          </w:p>
        </w:tc>
        <w:tc>
          <w:tcPr>
            <w:tcW w:w="6362" w:type="dxa"/>
            <w:tcBorders>
              <w:top w:val="nil"/>
              <w:left w:val="nil"/>
              <w:bottom w:val="single" w:sz="8" w:space="0" w:color="auto"/>
              <w:right w:val="single" w:sz="8" w:space="0" w:color="auto"/>
            </w:tcBorders>
            <w:noWrap/>
            <w:vAlign w:val="bottom"/>
            <w:hideMark/>
          </w:tcPr>
          <w:p w14:paraId="25EC93C9" w14:textId="77777777" w:rsidR="004C0DD3" w:rsidRPr="00E40C0B" w:rsidRDefault="004C0DD3" w:rsidP="004C0DD3">
            <w:pPr>
              <w:spacing w:after="0" w:line="240" w:lineRule="auto"/>
              <w:rPr>
                <w:rFonts w:ascii="Times New Roman" w:hAnsi="Times New Roman"/>
                <w:color w:val="000000"/>
                <w:sz w:val="24"/>
                <w:szCs w:val="24"/>
                <w:lang w:eastAsia="es-DO"/>
              </w:rPr>
            </w:pPr>
            <w:r w:rsidRPr="00E40C0B">
              <w:rPr>
                <w:rFonts w:ascii="Times New Roman" w:hAnsi="Times New Roman"/>
                <w:color w:val="000000"/>
                <w:sz w:val="24"/>
                <w:szCs w:val="24"/>
                <w:lang w:eastAsia="es-DO"/>
              </w:rPr>
              <w:t>Dirección Agropecuaria, Normas y Tecnología Alimentaria</w:t>
            </w:r>
          </w:p>
        </w:tc>
        <w:tc>
          <w:tcPr>
            <w:tcW w:w="2384" w:type="dxa"/>
            <w:tcBorders>
              <w:top w:val="nil"/>
              <w:left w:val="nil"/>
              <w:bottom w:val="single" w:sz="8" w:space="0" w:color="auto"/>
              <w:right w:val="single" w:sz="8" w:space="0" w:color="auto"/>
            </w:tcBorders>
            <w:noWrap/>
            <w:vAlign w:val="bottom"/>
            <w:hideMark/>
          </w:tcPr>
          <w:p w14:paraId="7FEE50DF" w14:textId="77777777" w:rsidR="004C0DD3" w:rsidRPr="00E40C0B" w:rsidRDefault="004C0DD3" w:rsidP="004C0DD3">
            <w:pPr>
              <w:spacing w:after="0" w:line="240" w:lineRule="auto"/>
              <w:jc w:val="center"/>
              <w:rPr>
                <w:rFonts w:ascii="Times New Roman" w:hAnsi="Times New Roman"/>
                <w:color w:val="000000"/>
                <w:sz w:val="24"/>
                <w:szCs w:val="24"/>
                <w:lang w:eastAsia="es-DO"/>
              </w:rPr>
            </w:pPr>
            <w:r w:rsidRPr="00E40C0B">
              <w:rPr>
                <w:rFonts w:ascii="Times New Roman" w:hAnsi="Times New Roman"/>
                <w:color w:val="000000"/>
                <w:sz w:val="24"/>
                <w:szCs w:val="24"/>
                <w:lang w:eastAsia="es-DO"/>
              </w:rPr>
              <w:t>50%</w:t>
            </w:r>
          </w:p>
        </w:tc>
      </w:tr>
      <w:tr w:rsidR="004C0DD3" w:rsidRPr="00E40C0B" w14:paraId="43F5E88E" w14:textId="77777777" w:rsidTr="000348A8">
        <w:trPr>
          <w:trHeight w:val="339"/>
        </w:trPr>
        <w:tc>
          <w:tcPr>
            <w:tcW w:w="993" w:type="dxa"/>
            <w:tcBorders>
              <w:top w:val="nil"/>
              <w:left w:val="single" w:sz="8" w:space="0" w:color="auto"/>
              <w:bottom w:val="single" w:sz="8" w:space="0" w:color="auto"/>
              <w:right w:val="single" w:sz="8" w:space="0" w:color="auto"/>
            </w:tcBorders>
            <w:shd w:val="clear" w:color="000000" w:fill="002060"/>
            <w:noWrap/>
            <w:vAlign w:val="bottom"/>
            <w:hideMark/>
          </w:tcPr>
          <w:p w14:paraId="6EE4829F" w14:textId="77777777" w:rsidR="004C0DD3" w:rsidRPr="00E40C0B" w:rsidRDefault="004C0DD3" w:rsidP="004C0DD3">
            <w:pPr>
              <w:spacing w:after="0" w:line="240" w:lineRule="auto"/>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 </w:t>
            </w:r>
          </w:p>
        </w:tc>
        <w:tc>
          <w:tcPr>
            <w:tcW w:w="6362" w:type="dxa"/>
            <w:tcBorders>
              <w:top w:val="nil"/>
              <w:left w:val="nil"/>
              <w:bottom w:val="single" w:sz="8" w:space="0" w:color="auto"/>
              <w:right w:val="single" w:sz="8" w:space="0" w:color="auto"/>
            </w:tcBorders>
            <w:shd w:val="clear" w:color="000000" w:fill="002060"/>
            <w:noWrap/>
            <w:vAlign w:val="bottom"/>
            <w:hideMark/>
          </w:tcPr>
          <w:p w14:paraId="4F741229" w14:textId="77777777" w:rsidR="004C0DD3" w:rsidRPr="00E40C0B" w:rsidRDefault="004C0DD3" w:rsidP="004C0DD3">
            <w:pPr>
              <w:spacing w:after="0" w:line="240" w:lineRule="auto"/>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Porcentaje Total de Cumplimiento</w:t>
            </w:r>
          </w:p>
        </w:tc>
        <w:tc>
          <w:tcPr>
            <w:tcW w:w="2384" w:type="dxa"/>
            <w:tcBorders>
              <w:top w:val="nil"/>
              <w:left w:val="nil"/>
              <w:bottom w:val="single" w:sz="8" w:space="0" w:color="auto"/>
              <w:right w:val="single" w:sz="8" w:space="0" w:color="auto"/>
            </w:tcBorders>
            <w:shd w:val="clear" w:color="000000" w:fill="002060"/>
            <w:noWrap/>
            <w:vAlign w:val="bottom"/>
            <w:hideMark/>
          </w:tcPr>
          <w:p w14:paraId="32E9873C" w14:textId="77777777" w:rsidR="004C0DD3" w:rsidRPr="00E40C0B" w:rsidRDefault="004C0DD3" w:rsidP="004C0DD3">
            <w:pPr>
              <w:spacing w:after="0" w:line="240" w:lineRule="auto"/>
              <w:jc w:val="center"/>
              <w:rPr>
                <w:rFonts w:ascii="Times New Roman" w:hAnsi="Times New Roman"/>
                <w:b/>
                <w:bCs/>
                <w:color w:val="FFFFFF"/>
                <w:sz w:val="24"/>
                <w:szCs w:val="24"/>
                <w:lang w:eastAsia="es-DO"/>
              </w:rPr>
            </w:pPr>
            <w:r w:rsidRPr="00E40C0B">
              <w:rPr>
                <w:rFonts w:ascii="Times New Roman" w:hAnsi="Times New Roman"/>
                <w:b/>
                <w:bCs/>
                <w:color w:val="FFFFFF"/>
                <w:sz w:val="24"/>
                <w:szCs w:val="24"/>
                <w:lang w:eastAsia="es-DO"/>
              </w:rPr>
              <w:t>86%</w:t>
            </w:r>
          </w:p>
        </w:tc>
      </w:tr>
    </w:tbl>
    <w:p w14:paraId="5F8D02A4" w14:textId="529F846D" w:rsidR="00BC6F6D" w:rsidRPr="00B764E4" w:rsidRDefault="00BC6F6D" w:rsidP="00E40C0B">
      <w:pPr>
        <w:jc w:val="center"/>
        <w:rPr>
          <w:rFonts w:ascii="Times New Roman" w:hAnsi="Times New Roman"/>
          <w:color w:val="000000"/>
          <w:lang w:eastAsia="es-DO"/>
        </w:rPr>
      </w:pPr>
      <w:r w:rsidRPr="00B764E4">
        <w:rPr>
          <w:rFonts w:ascii="Times New Roman" w:hAnsi="Times New Roman"/>
          <w:b/>
          <w:bCs/>
          <w:color w:val="000000"/>
          <w:lang w:eastAsia="es-DO"/>
        </w:rPr>
        <w:t>Tabla 1.</w:t>
      </w:r>
      <w:r w:rsidRPr="00B764E4">
        <w:rPr>
          <w:rFonts w:ascii="Times New Roman" w:hAnsi="Times New Roman"/>
          <w:color w:val="000000"/>
          <w:lang w:eastAsia="es-DO"/>
        </w:rPr>
        <w:t xml:space="preserve"> República Dominicana: porcentajes de cumplimiento del primer trimestre del Plan Operativo Anual de 2026</w:t>
      </w:r>
    </w:p>
    <w:p w14:paraId="00A160E0" w14:textId="77777777" w:rsidR="00BC6F6D" w:rsidRPr="000348A8" w:rsidRDefault="00BC6F6D" w:rsidP="00E40C0B">
      <w:pPr>
        <w:spacing w:after="0" w:line="240" w:lineRule="auto"/>
        <w:jc w:val="center"/>
        <w:rPr>
          <w:rFonts w:ascii="Times New Roman" w:hAnsi="Times New Roman"/>
          <w:i/>
          <w:iCs/>
          <w:color w:val="000000"/>
          <w:sz w:val="18"/>
          <w:szCs w:val="18"/>
          <w:lang w:eastAsia="es-DO"/>
        </w:rPr>
      </w:pPr>
      <w:r w:rsidRPr="000348A8">
        <w:rPr>
          <w:rFonts w:ascii="Times New Roman" w:hAnsi="Times New Roman"/>
          <w:b/>
          <w:bCs/>
          <w:i/>
          <w:iCs/>
          <w:color w:val="000000"/>
          <w:sz w:val="18"/>
          <w:szCs w:val="18"/>
          <w:lang w:eastAsia="es-DO"/>
        </w:rPr>
        <w:t>Fuente:</w:t>
      </w:r>
      <w:r w:rsidRPr="000348A8">
        <w:rPr>
          <w:rFonts w:ascii="Times New Roman" w:hAnsi="Times New Roman"/>
          <w:i/>
          <w:iCs/>
          <w:color w:val="000000"/>
          <w:sz w:val="18"/>
          <w:szCs w:val="18"/>
          <w:lang w:eastAsia="es-DO"/>
        </w:rPr>
        <w:t xml:space="preserve"> Elaboración propia con datos obtenidos de las ejecuciones del POA de cada área.</w:t>
      </w:r>
    </w:p>
    <w:p w14:paraId="05308F70" w14:textId="77777777" w:rsidR="00BC6F6D" w:rsidRDefault="00BC6F6D" w:rsidP="00BB02BC">
      <w:pPr>
        <w:rPr>
          <w:rFonts w:ascii="Arial" w:hAnsi="Arial" w:cs="Arial"/>
        </w:rPr>
      </w:pPr>
    </w:p>
    <w:p w14:paraId="5A76A582" w14:textId="77777777" w:rsidR="007B6091" w:rsidRDefault="007B6091" w:rsidP="00BB02BC">
      <w:pPr>
        <w:rPr>
          <w:rFonts w:ascii="Arial" w:hAnsi="Arial" w:cs="Arial"/>
        </w:rPr>
      </w:pPr>
    </w:p>
    <w:p w14:paraId="7FE76F67" w14:textId="77777777" w:rsidR="007B6091" w:rsidRDefault="007B6091" w:rsidP="00BB02BC">
      <w:pPr>
        <w:rPr>
          <w:rFonts w:ascii="Arial" w:hAnsi="Arial" w:cs="Arial"/>
        </w:rPr>
      </w:pPr>
    </w:p>
    <w:p w14:paraId="49CF8629" w14:textId="77777777" w:rsidR="007B6091" w:rsidRDefault="007B6091" w:rsidP="00BB02BC">
      <w:pPr>
        <w:rPr>
          <w:rFonts w:ascii="Arial" w:hAnsi="Arial" w:cs="Arial"/>
        </w:rPr>
      </w:pPr>
    </w:p>
    <w:p w14:paraId="674DF235" w14:textId="77777777" w:rsidR="007B6091" w:rsidRDefault="007B6091" w:rsidP="00BB02BC">
      <w:pPr>
        <w:rPr>
          <w:rFonts w:ascii="Arial" w:hAnsi="Arial" w:cs="Arial"/>
        </w:rPr>
      </w:pPr>
    </w:p>
    <w:p w14:paraId="40BC4770" w14:textId="77777777" w:rsidR="007B6091" w:rsidRDefault="007B6091" w:rsidP="00BB02BC">
      <w:pPr>
        <w:rPr>
          <w:rFonts w:ascii="Arial" w:hAnsi="Arial" w:cs="Arial"/>
        </w:rPr>
      </w:pPr>
    </w:p>
    <w:p w14:paraId="28E79D71" w14:textId="77777777" w:rsidR="007B6091" w:rsidRDefault="007B6091" w:rsidP="00BB02BC">
      <w:pPr>
        <w:rPr>
          <w:rFonts w:ascii="Arial" w:hAnsi="Arial" w:cs="Arial"/>
        </w:rPr>
      </w:pPr>
    </w:p>
    <w:p w14:paraId="1B5AE437" w14:textId="77777777" w:rsidR="007B6091" w:rsidRDefault="007B6091" w:rsidP="00BB02BC">
      <w:pPr>
        <w:rPr>
          <w:rFonts w:ascii="Arial" w:hAnsi="Arial" w:cs="Arial"/>
        </w:rPr>
      </w:pPr>
    </w:p>
    <w:p w14:paraId="428C38FF" w14:textId="77777777" w:rsidR="007B6091" w:rsidRDefault="007B6091" w:rsidP="00BB02BC">
      <w:pPr>
        <w:rPr>
          <w:rFonts w:ascii="Arial" w:hAnsi="Arial" w:cs="Arial"/>
        </w:rPr>
      </w:pPr>
    </w:p>
    <w:p w14:paraId="20420D90" w14:textId="77777777" w:rsidR="007B6091" w:rsidRPr="00BC6F6D" w:rsidRDefault="007B6091" w:rsidP="00BB02BC">
      <w:pPr>
        <w:rPr>
          <w:rFonts w:ascii="Arial" w:hAnsi="Arial" w:cs="Arial"/>
        </w:rPr>
      </w:pPr>
    </w:p>
    <w:p w14:paraId="59DA9644" w14:textId="6F7EC3DD" w:rsidR="00BB02BC" w:rsidRPr="00B764E4" w:rsidRDefault="007B6091" w:rsidP="00E40C0B">
      <w:pPr>
        <w:tabs>
          <w:tab w:val="left" w:pos="2000"/>
        </w:tabs>
        <w:spacing w:before="240" w:after="0" w:line="240" w:lineRule="auto"/>
        <w:jc w:val="center"/>
      </w:pPr>
      <w:r w:rsidRPr="00B764E4">
        <w:rPr>
          <w:noProof/>
          <w14:ligatures w14:val="standardContextual"/>
        </w:rPr>
        <w:lastRenderedPageBreak/>
        <w:drawing>
          <wp:anchor distT="0" distB="0" distL="114300" distR="114300" simplePos="0" relativeHeight="251660288" behindDoc="0" locked="0" layoutInCell="1" allowOverlap="1" wp14:anchorId="63A62EFF" wp14:editId="21DD12EA">
            <wp:simplePos x="0" y="0"/>
            <wp:positionH relativeFrom="margin">
              <wp:posOffset>-734060</wp:posOffset>
            </wp:positionH>
            <wp:positionV relativeFrom="page">
              <wp:posOffset>1548130</wp:posOffset>
            </wp:positionV>
            <wp:extent cx="6769100" cy="3207385"/>
            <wp:effectExtent l="0" t="0" r="12700" b="12065"/>
            <wp:wrapTopAndBottom/>
            <wp:docPr id="2061444598" name="Gráfico 1">
              <a:extLst xmlns:a="http://schemas.openxmlformats.org/drawingml/2006/main">
                <a:ext uri="{FF2B5EF4-FFF2-40B4-BE49-F238E27FC236}">
                  <a16:creationId xmlns:a16="http://schemas.microsoft.com/office/drawing/2014/main" id="{15B619DE-2372-7710-7F75-4553657CC0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E40C0B" w:rsidRPr="00B764E4">
        <w:rPr>
          <w:rFonts w:ascii="Times New Roman" w:hAnsi="Times New Roman"/>
          <w:b/>
          <w:bCs/>
        </w:rPr>
        <w:t xml:space="preserve">Gráfico 1. </w:t>
      </w:r>
      <w:r w:rsidR="00E40C0B" w:rsidRPr="00B764E4">
        <w:rPr>
          <w:rFonts w:ascii="Times New Roman" w:hAnsi="Times New Roman"/>
        </w:rPr>
        <w:t xml:space="preserve">República Dominicana: porcentaje de cumplimiento </w:t>
      </w:r>
      <w:r w:rsidR="00E40C0B" w:rsidRPr="00B764E4">
        <w:rPr>
          <w:rFonts w:ascii="Times New Roman" w:hAnsi="Times New Roman"/>
          <w:color w:val="000000"/>
          <w:lang w:eastAsia="es-DO"/>
        </w:rPr>
        <w:t>del cuarto trimestre del Plan Operativo Anual de 2026</w:t>
      </w:r>
    </w:p>
    <w:p w14:paraId="37933490" w14:textId="4DF13529" w:rsidR="00BB02BC" w:rsidRDefault="00BB02BC" w:rsidP="00BB02BC"/>
    <w:p w14:paraId="2D428677" w14:textId="3404199F" w:rsidR="00BB02BC" w:rsidRDefault="00BB02BC" w:rsidP="00BB02BC"/>
    <w:p w14:paraId="2039312A" w14:textId="67DEF58B" w:rsidR="00BB02BC" w:rsidRDefault="00BB02BC" w:rsidP="00BB02BC"/>
    <w:p w14:paraId="5CBD0495" w14:textId="77777777" w:rsidR="00BB02BC" w:rsidRDefault="00BB02BC" w:rsidP="00BB02BC"/>
    <w:p w14:paraId="08E3AEAF" w14:textId="77777777" w:rsidR="00BB02BC" w:rsidRDefault="00BB02BC" w:rsidP="00BB02BC"/>
    <w:p w14:paraId="215B9543" w14:textId="77777777" w:rsidR="00BB02BC" w:rsidRDefault="00BB02BC" w:rsidP="00BB02BC"/>
    <w:p w14:paraId="1E7FCBA5" w14:textId="5B4AF3E8" w:rsidR="00BC6F6D" w:rsidRDefault="00BC6F6D" w:rsidP="00BB02BC"/>
    <w:p w14:paraId="4A71447E" w14:textId="77777777" w:rsidR="00BC6F6D" w:rsidRDefault="00BC6F6D" w:rsidP="00BB02BC"/>
    <w:p w14:paraId="7BF3F028" w14:textId="77777777" w:rsidR="00BC6F6D" w:rsidRDefault="00BC6F6D" w:rsidP="00BB02BC"/>
    <w:p w14:paraId="4E1D6A4D" w14:textId="77777777" w:rsidR="00BB02BC" w:rsidRDefault="00BB02BC" w:rsidP="00BB02BC"/>
    <w:p w14:paraId="3408AEC1" w14:textId="77777777" w:rsidR="00BB02BC" w:rsidRDefault="00BB02BC" w:rsidP="00BB02BC"/>
    <w:p w14:paraId="75C91419" w14:textId="77777777" w:rsidR="00BC6F6D" w:rsidRDefault="00BC6F6D" w:rsidP="00BB02BC"/>
    <w:p w14:paraId="48E9A532" w14:textId="77777777" w:rsidR="000348A8" w:rsidRDefault="000348A8" w:rsidP="00BB02BC"/>
    <w:p w14:paraId="357145CA" w14:textId="77777777" w:rsidR="000348A8" w:rsidRDefault="000348A8" w:rsidP="00BB02BC"/>
    <w:p w14:paraId="44AAD608" w14:textId="77777777" w:rsidR="00BC6F6D" w:rsidRDefault="00BC6F6D" w:rsidP="00BB02BC"/>
    <w:p w14:paraId="38D876CF" w14:textId="77777777" w:rsidR="00BC6F6D" w:rsidRPr="00B46391" w:rsidRDefault="00BC6F6D" w:rsidP="00BB02BC">
      <w:pPr>
        <w:rPr>
          <w:rFonts w:ascii="Times New Roman" w:hAnsi="Times New Roman"/>
        </w:rPr>
      </w:pPr>
    </w:p>
    <w:p w14:paraId="5EAFCF01" w14:textId="77777777" w:rsidR="00BC6F6D" w:rsidRPr="00B46391" w:rsidRDefault="00BC6F6D" w:rsidP="00BC6F6D">
      <w:pPr>
        <w:pStyle w:val="Prrafodelista"/>
        <w:numPr>
          <w:ilvl w:val="0"/>
          <w:numId w:val="1"/>
        </w:numPr>
        <w:rPr>
          <w:rFonts w:ascii="Times New Roman" w:eastAsiaTheme="majorEastAsia" w:hAnsi="Times New Roman"/>
          <w:b/>
          <w:bCs/>
          <w:color w:val="2F5496" w:themeColor="accent1" w:themeShade="BF"/>
          <w:sz w:val="28"/>
          <w:szCs w:val="28"/>
        </w:rPr>
      </w:pPr>
      <w:r w:rsidRPr="00B46391">
        <w:rPr>
          <w:rFonts w:ascii="Times New Roman" w:eastAsiaTheme="majorEastAsia" w:hAnsi="Times New Roman"/>
          <w:b/>
          <w:bCs/>
          <w:color w:val="2F5496" w:themeColor="accent1" w:themeShade="BF"/>
          <w:sz w:val="28"/>
          <w:szCs w:val="28"/>
        </w:rPr>
        <w:lastRenderedPageBreak/>
        <w:t xml:space="preserve">DESEMPEÑO DEL PLAN OPERATIVO ANUAL 2026 </w:t>
      </w:r>
    </w:p>
    <w:p w14:paraId="60ACC6B8" w14:textId="627FDF8B" w:rsidR="00BC6F6D" w:rsidRPr="00B46391" w:rsidRDefault="00BC6F6D" w:rsidP="00BC6F6D">
      <w:pPr>
        <w:pStyle w:val="Prrafodelista"/>
        <w:rPr>
          <w:rFonts w:ascii="Times New Roman" w:eastAsiaTheme="majorEastAsia" w:hAnsi="Times New Roman"/>
          <w:b/>
          <w:bCs/>
          <w:color w:val="2F5496" w:themeColor="accent1" w:themeShade="BF"/>
          <w:sz w:val="28"/>
          <w:szCs w:val="28"/>
        </w:rPr>
      </w:pPr>
      <w:r w:rsidRPr="00B46391">
        <w:rPr>
          <w:rFonts w:ascii="Times New Roman" w:eastAsiaTheme="majorEastAsia" w:hAnsi="Times New Roman"/>
          <w:b/>
          <w:bCs/>
          <w:color w:val="2F5496" w:themeColor="accent1" w:themeShade="BF"/>
          <w:sz w:val="28"/>
          <w:szCs w:val="28"/>
        </w:rPr>
        <w:t>– POR ÁREA</w:t>
      </w:r>
    </w:p>
    <w:p w14:paraId="436FF9D5" w14:textId="77777777" w:rsidR="00BC6F6D" w:rsidRPr="00B46391" w:rsidRDefault="00BC6F6D" w:rsidP="00BC6F6D">
      <w:pPr>
        <w:jc w:val="both"/>
        <w:rPr>
          <w:rFonts w:ascii="Times New Roman" w:hAnsi="Times New Roman"/>
          <w:sz w:val="24"/>
          <w:szCs w:val="24"/>
        </w:rPr>
      </w:pPr>
      <w:r w:rsidRPr="00B46391">
        <w:rPr>
          <w:rFonts w:ascii="Times New Roman" w:hAnsi="Times New Roman"/>
          <w:sz w:val="24"/>
          <w:szCs w:val="24"/>
        </w:rPr>
        <w:t xml:space="preserve">A continuación, se presentan los resultados del desempeño institucional alcanzados por las diferentes áreas que conforman el INESPRE durante el </w:t>
      </w:r>
      <w:r w:rsidRPr="003161FE">
        <w:rPr>
          <w:rFonts w:ascii="Times New Roman" w:hAnsi="Times New Roman"/>
          <w:b/>
          <w:bCs/>
          <w:sz w:val="24"/>
          <w:szCs w:val="24"/>
        </w:rPr>
        <w:t>período enero–marzo de 2026,</w:t>
      </w:r>
      <w:r w:rsidRPr="00B46391">
        <w:rPr>
          <w:rFonts w:ascii="Times New Roman" w:hAnsi="Times New Roman"/>
          <w:sz w:val="24"/>
          <w:szCs w:val="24"/>
        </w:rPr>
        <w:t xml:space="preserve"> en el marco del Plan Operativo Anual (POA) 2026.</w:t>
      </w:r>
    </w:p>
    <w:p w14:paraId="39D04575" w14:textId="77777777" w:rsidR="00BC6F6D" w:rsidRPr="00B46391" w:rsidRDefault="00BC6F6D" w:rsidP="00BC6F6D">
      <w:pPr>
        <w:jc w:val="both"/>
        <w:rPr>
          <w:rFonts w:ascii="Times New Roman" w:hAnsi="Times New Roman"/>
          <w:sz w:val="24"/>
          <w:szCs w:val="24"/>
        </w:rPr>
      </w:pPr>
      <w:r w:rsidRPr="00B46391">
        <w:rPr>
          <w:rFonts w:ascii="Times New Roman" w:hAnsi="Times New Roman"/>
          <w:sz w:val="24"/>
          <w:szCs w:val="24"/>
        </w:rPr>
        <w:t>El análisis se sustenta en el seguimiento técnico de los productos e indicadores programados, permitiendo evaluar el nivel de cumplimiento de las metas establecidas, así como identificar las variaciones en la ejecución y los factores determinantes que incidieron en el desarrollo de las actividades planificadas.</w:t>
      </w:r>
    </w:p>
    <w:p w14:paraId="49E72CC7" w14:textId="1939440D" w:rsidR="00BC6F6D" w:rsidRPr="00B46391" w:rsidRDefault="00BC6F6D" w:rsidP="00B46391">
      <w:pPr>
        <w:jc w:val="both"/>
        <w:rPr>
          <w:rFonts w:ascii="Times New Roman" w:hAnsi="Times New Roman"/>
          <w:sz w:val="24"/>
          <w:szCs w:val="24"/>
        </w:rPr>
      </w:pPr>
      <w:r w:rsidRPr="00B46391">
        <w:rPr>
          <w:rFonts w:ascii="Times New Roman" w:hAnsi="Times New Roman"/>
          <w:sz w:val="24"/>
          <w:szCs w:val="24"/>
        </w:rPr>
        <w:t>En este sentido, se examinan de manera particular aquellos objetivos cuyo nivel de cumplimiento se situó por debajo del 80%, con el propósito de identificar brechas, riesgos asociados y oportunidades de mejora que contribuyan al fortalecimiento de la gestión institucional, la optimización de los procesos de planificación y la toma de decisiones basada en evidencia en los períodos subsiguientes.</w:t>
      </w:r>
    </w:p>
    <w:p w14:paraId="66AE656D" w14:textId="132612E9" w:rsidR="00BB02BC" w:rsidRDefault="000348A8" w:rsidP="00BB02BC">
      <w:pPr>
        <w:pStyle w:val="Ttulo1"/>
        <w:numPr>
          <w:ilvl w:val="0"/>
          <w:numId w:val="1"/>
        </w:numPr>
        <w:spacing w:line="360" w:lineRule="auto"/>
        <w:ind w:left="0"/>
        <w:rPr>
          <w:rFonts w:ascii="Arial" w:hAnsi="Arial" w:cs="Arial"/>
          <w:b/>
          <w:bCs/>
          <w:sz w:val="24"/>
          <w:szCs w:val="24"/>
        </w:rPr>
      </w:pPr>
      <w:bookmarkStart w:id="26" w:name="_Toc219376946"/>
      <w:bookmarkStart w:id="27" w:name="_Toc226973078"/>
      <w:r w:rsidRPr="000348A8">
        <w:rPr>
          <w:rFonts w:ascii="Arial" w:hAnsi="Arial" w:cs="Arial"/>
          <w:b/>
          <w:bCs/>
          <w:sz w:val="24"/>
          <w:szCs w:val="24"/>
        </w:rPr>
        <w:t>Dirección Ejecutiva</w:t>
      </w:r>
      <w:bookmarkEnd w:id="26"/>
      <w:bookmarkEnd w:id="27"/>
    </w:p>
    <w:p w14:paraId="285DB5AC" w14:textId="45733543" w:rsidR="00B46391" w:rsidRDefault="00B46391" w:rsidP="00B46391">
      <w:pPr>
        <w:jc w:val="both"/>
        <w:rPr>
          <w:rFonts w:ascii="Times New Roman" w:hAnsi="Times New Roman"/>
          <w:sz w:val="24"/>
          <w:szCs w:val="24"/>
        </w:rPr>
      </w:pPr>
      <w:r w:rsidRPr="00B46391">
        <w:rPr>
          <w:rFonts w:ascii="Times New Roman" w:hAnsi="Times New Roman"/>
          <w:sz w:val="24"/>
          <w:szCs w:val="24"/>
        </w:rPr>
        <w:t xml:space="preserve">La Dirección Ejecutiva registró un nivel de cumplimiento del </w:t>
      </w:r>
      <w:r w:rsidRPr="00B46391">
        <w:rPr>
          <w:rFonts w:ascii="Times New Roman" w:hAnsi="Times New Roman"/>
          <w:b/>
          <w:bCs/>
          <w:sz w:val="24"/>
          <w:szCs w:val="24"/>
        </w:rPr>
        <w:t>100%</w:t>
      </w:r>
      <w:r w:rsidRPr="00B46391">
        <w:rPr>
          <w:rFonts w:ascii="Times New Roman" w:hAnsi="Times New Roman"/>
          <w:sz w:val="24"/>
          <w:szCs w:val="24"/>
        </w:rPr>
        <w:t xml:space="preserve"> en los objetivos programados para el período evaluado, evidenciando una gestión orientada a resultados y al fortalecimiento de la conducción estratégica institucional. Este desempeño estuvo sustentado en la realización efectiva de reuniones del Staff Ejecutivo, reuniones con el ministro de Agricultura y encuentros con productores, espacios que permitieron fortalecer la coordinación interinstitucional, la toma de decisiones estratégicas y la articulación con los actores del sector agropecuario. Asimismo, se consolidaron los mecanismos de seguimiento y control de los planes, proyectos, normas y procesos, asegurando su adecuada implementación y alineación con las prioridades institucionales, lo que contribuyó al cumplimiento de los objetivos del INESPRE y al fortalecimiento de su capacidad de respuesta.</w:t>
      </w:r>
    </w:p>
    <w:p w14:paraId="69AC731E" w14:textId="77777777" w:rsidR="00B46391" w:rsidRDefault="00B46391" w:rsidP="00B46391">
      <w:pPr>
        <w:jc w:val="both"/>
        <w:rPr>
          <w:rFonts w:ascii="Times New Roman" w:hAnsi="Times New Roman"/>
          <w:sz w:val="24"/>
          <w:szCs w:val="24"/>
        </w:rPr>
      </w:pPr>
    </w:p>
    <w:p w14:paraId="43F0039C" w14:textId="77777777" w:rsidR="00B46391" w:rsidRDefault="00B46391" w:rsidP="00B46391">
      <w:pPr>
        <w:jc w:val="both"/>
        <w:rPr>
          <w:rFonts w:ascii="Times New Roman" w:hAnsi="Times New Roman"/>
          <w:sz w:val="24"/>
          <w:szCs w:val="24"/>
        </w:rPr>
      </w:pPr>
    </w:p>
    <w:p w14:paraId="1DA60ABD" w14:textId="77777777" w:rsidR="00B46391" w:rsidRDefault="00B46391" w:rsidP="00B46391">
      <w:pPr>
        <w:jc w:val="both"/>
        <w:rPr>
          <w:rFonts w:ascii="Times New Roman" w:hAnsi="Times New Roman"/>
          <w:sz w:val="24"/>
          <w:szCs w:val="24"/>
        </w:rPr>
      </w:pPr>
    </w:p>
    <w:p w14:paraId="6693CABC" w14:textId="77777777" w:rsidR="00B46391" w:rsidRDefault="00B46391" w:rsidP="00B46391">
      <w:pPr>
        <w:jc w:val="both"/>
      </w:pPr>
    </w:p>
    <w:p w14:paraId="1E02FB2D" w14:textId="77777777" w:rsidR="00B46391" w:rsidRDefault="00B46391" w:rsidP="00B46391"/>
    <w:p w14:paraId="59553C5C" w14:textId="77777777" w:rsidR="00B46391" w:rsidRDefault="00B46391" w:rsidP="00B46391"/>
    <w:p w14:paraId="08EA144E" w14:textId="77777777" w:rsidR="00B764E4" w:rsidRDefault="00B764E4" w:rsidP="00B46391"/>
    <w:p w14:paraId="50D14B02" w14:textId="77777777" w:rsidR="00B764E4" w:rsidRPr="00B46391" w:rsidRDefault="00B764E4" w:rsidP="00B46391"/>
    <w:tbl>
      <w:tblPr>
        <w:tblW w:w="8800" w:type="dxa"/>
        <w:tblCellMar>
          <w:left w:w="70" w:type="dxa"/>
          <w:right w:w="70" w:type="dxa"/>
        </w:tblCellMar>
        <w:tblLook w:val="04A0" w:firstRow="1" w:lastRow="0" w:firstColumn="1" w:lastColumn="0" w:noHBand="0" w:noVBand="1"/>
      </w:tblPr>
      <w:tblGrid>
        <w:gridCol w:w="6688"/>
        <w:gridCol w:w="2112"/>
      </w:tblGrid>
      <w:tr w:rsidR="00B46391" w:rsidRPr="00B46391" w14:paraId="3AAA9EBB" w14:textId="77777777" w:rsidTr="00B46391">
        <w:trPr>
          <w:trHeight w:val="584"/>
        </w:trPr>
        <w:tc>
          <w:tcPr>
            <w:tcW w:w="8800" w:type="dxa"/>
            <w:gridSpan w:val="2"/>
            <w:tcBorders>
              <w:top w:val="nil"/>
              <w:left w:val="nil"/>
              <w:bottom w:val="single" w:sz="8" w:space="0" w:color="auto"/>
              <w:right w:val="nil"/>
            </w:tcBorders>
            <w:vAlign w:val="center"/>
            <w:hideMark/>
          </w:tcPr>
          <w:p w14:paraId="3AA3D838" w14:textId="184BB968" w:rsidR="00B46391" w:rsidRPr="00B46391" w:rsidRDefault="00B46391" w:rsidP="00B46391">
            <w:pPr>
              <w:spacing w:after="0" w:line="240" w:lineRule="auto"/>
              <w:jc w:val="center"/>
              <w:rPr>
                <w:rFonts w:ascii="Times New Roman" w:hAnsi="Times New Roman"/>
                <w:b/>
                <w:bCs/>
                <w:color w:val="000000"/>
                <w:lang w:eastAsia="es-DO"/>
              </w:rPr>
            </w:pPr>
            <w:r w:rsidRPr="00B46391">
              <w:rPr>
                <w:rFonts w:ascii="Times New Roman" w:hAnsi="Times New Roman"/>
                <w:b/>
                <w:bCs/>
                <w:color w:val="000000"/>
                <w:lang w:eastAsia="es-DO"/>
              </w:rPr>
              <w:lastRenderedPageBreak/>
              <w:t xml:space="preserve">Tabla </w:t>
            </w:r>
            <w:r w:rsidRPr="00B764E4">
              <w:rPr>
                <w:rFonts w:ascii="Times New Roman" w:hAnsi="Times New Roman"/>
                <w:b/>
                <w:bCs/>
                <w:color w:val="000000"/>
                <w:lang w:eastAsia="es-DO"/>
              </w:rPr>
              <w:t>2</w:t>
            </w:r>
            <w:r w:rsidRPr="00B46391">
              <w:rPr>
                <w:rFonts w:ascii="Times New Roman" w:hAnsi="Times New Roman"/>
                <w:b/>
                <w:bCs/>
                <w:lang w:eastAsia="es-DO"/>
              </w:rPr>
              <w:t>.</w:t>
            </w:r>
            <w:r w:rsidRPr="00B46391">
              <w:rPr>
                <w:rFonts w:ascii="Times New Roman" w:hAnsi="Times New Roman"/>
                <w:color w:val="000000"/>
                <w:lang w:eastAsia="es-DO"/>
              </w:rPr>
              <w:t xml:space="preserve"> Resultados de la Dirección Ejecutiva, según objetivo, 202</w:t>
            </w:r>
            <w:r w:rsidRPr="00B764E4">
              <w:rPr>
                <w:rFonts w:ascii="Times New Roman" w:hAnsi="Times New Roman"/>
                <w:color w:val="000000"/>
                <w:lang w:eastAsia="es-DO"/>
              </w:rPr>
              <w:t>6</w:t>
            </w:r>
            <w:r w:rsidRPr="00B46391">
              <w:rPr>
                <w:rFonts w:ascii="Times New Roman" w:hAnsi="Times New Roman"/>
                <w:color w:val="000000"/>
                <w:lang w:eastAsia="es-DO"/>
              </w:rPr>
              <w:t>.</w:t>
            </w:r>
          </w:p>
        </w:tc>
      </w:tr>
      <w:tr w:rsidR="00B46391" w:rsidRPr="00B46391" w14:paraId="7257D2FF" w14:textId="77777777" w:rsidTr="00B46391">
        <w:trPr>
          <w:trHeight w:val="449"/>
        </w:trPr>
        <w:tc>
          <w:tcPr>
            <w:tcW w:w="8800" w:type="dxa"/>
            <w:gridSpan w:val="2"/>
            <w:tcBorders>
              <w:top w:val="single" w:sz="8" w:space="0" w:color="auto"/>
              <w:left w:val="single" w:sz="8" w:space="0" w:color="auto"/>
              <w:bottom w:val="single" w:sz="8" w:space="0" w:color="auto"/>
              <w:right w:val="single" w:sz="8" w:space="0" w:color="auto"/>
            </w:tcBorders>
            <w:shd w:val="clear" w:color="000000" w:fill="A6A6A6"/>
            <w:noWrap/>
            <w:vAlign w:val="center"/>
            <w:hideMark/>
          </w:tcPr>
          <w:p w14:paraId="3E98433A" w14:textId="77777777" w:rsidR="00B46391" w:rsidRPr="00B46391" w:rsidRDefault="00B46391" w:rsidP="00B46391">
            <w:pPr>
              <w:spacing w:after="0" w:line="240" w:lineRule="auto"/>
              <w:jc w:val="center"/>
              <w:rPr>
                <w:rFonts w:ascii="Times New Roman" w:hAnsi="Times New Roman"/>
                <w:b/>
                <w:bCs/>
                <w:color w:val="FFFFFF"/>
                <w:sz w:val="24"/>
                <w:szCs w:val="24"/>
                <w:lang w:eastAsia="es-DO"/>
              </w:rPr>
            </w:pPr>
            <w:r w:rsidRPr="00B46391">
              <w:rPr>
                <w:rFonts w:ascii="Times New Roman" w:hAnsi="Times New Roman"/>
                <w:b/>
                <w:bCs/>
                <w:color w:val="FFFFFF"/>
                <w:sz w:val="24"/>
                <w:szCs w:val="24"/>
                <w:lang w:eastAsia="es-DO"/>
              </w:rPr>
              <w:t>Dirección Ejecutiva</w:t>
            </w:r>
          </w:p>
        </w:tc>
      </w:tr>
      <w:tr w:rsidR="00B46391" w:rsidRPr="00B46391" w14:paraId="491E34AC" w14:textId="77777777" w:rsidTr="00B46391">
        <w:trPr>
          <w:trHeight w:val="449"/>
        </w:trPr>
        <w:tc>
          <w:tcPr>
            <w:tcW w:w="6688" w:type="dxa"/>
            <w:tcBorders>
              <w:top w:val="nil"/>
              <w:left w:val="single" w:sz="8" w:space="0" w:color="auto"/>
              <w:bottom w:val="single" w:sz="8" w:space="0" w:color="auto"/>
              <w:right w:val="single" w:sz="8" w:space="0" w:color="auto"/>
            </w:tcBorders>
            <w:shd w:val="clear" w:color="000000" w:fill="002060"/>
            <w:noWrap/>
            <w:vAlign w:val="center"/>
            <w:hideMark/>
          </w:tcPr>
          <w:p w14:paraId="2E46730E" w14:textId="64B86418" w:rsidR="00B46391" w:rsidRPr="00B46391" w:rsidRDefault="005545E1" w:rsidP="00B46391">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112" w:type="dxa"/>
            <w:tcBorders>
              <w:top w:val="nil"/>
              <w:left w:val="nil"/>
              <w:bottom w:val="single" w:sz="8" w:space="0" w:color="auto"/>
              <w:right w:val="single" w:sz="8" w:space="0" w:color="auto"/>
            </w:tcBorders>
            <w:shd w:val="clear" w:color="000000" w:fill="002060"/>
            <w:noWrap/>
            <w:vAlign w:val="center"/>
            <w:hideMark/>
          </w:tcPr>
          <w:p w14:paraId="5FB8A1A6" w14:textId="77777777" w:rsidR="00B46391" w:rsidRPr="00B46391" w:rsidRDefault="00B46391" w:rsidP="00B46391">
            <w:pPr>
              <w:spacing w:after="0" w:line="240" w:lineRule="auto"/>
              <w:jc w:val="center"/>
              <w:rPr>
                <w:rFonts w:ascii="Times New Roman" w:hAnsi="Times New Roman"/>
                <w:b/>
                <w:bCs/>
                <w:color w:val="FFFFFF"/>
                <w:sz w:val="24"/>
                <w:szCs w:val="24"/>
                <w:lang w:eastAsia="es-DO"/>
              </w:rPr>
            </w:pPr>
            <w:r w:rsidRPr="00B46391">
              <w:rPr>
                <w:rFonts w:ascii="Times New Roman" w:hAnsi="Times New Roman"/>
                <w:b/>
                <w:bCs/>
                <w:color w:val="FFFFFF"/>
                <w:sz w:val="24"/>
                <w:szCs w:val="24"/>
                <w:lang w:eastAsia="es-DO"/>
              </w:rPr>
              <w:t>% Cumplimiento</w:t>
            </w:r>
          </w:p>
        </w:tc>
      </w:tr>
      <w:tr w:rsidR="00B46391" w:rsidRPr="00B46391" w14:paraId="2181E0A2" w14:textId="77777777" w:rsidTr="00B46391">
        <w:trPr>
          <w:trHeight w:val="463"/>
        </w:trPr>
        <w:tc>
          <w:tcPr>
            <w:tcW w:w="6688" w:type="dxa"/>
            <w:tcBorders>
              <w:top w:val="nil"/>
              <w:left w:val="single" w:sz="8" w:space="0" w:color="auto"/>
              <w:bottom w:val="single" w:sz="8" w:space="0" w:color="auto"/>
              <w:right w:val="single" w:sz="8" w:space="0" w:color="auto"/>
            </w:tcBorders>
            <w:vAlign w:val="center"/>
            <w:hideMark/>
          </w:tcPr>
          <w:p w14:paraId="26D77C62" w14:textId="77777777" w:rsidR="00B46391" w:rsidRPr="00B46391" w:rsidRDefault="00B46391" w:rsidP="00B46391">
            <w:pPr>
              <w:spacing w:after="0" w:line="240" w:lineRule="auto"/>
              <w:rPr>
                <w:rFonts w:ascii="Times New Roman" w:hAnsi="Times New Roman"/>
                <w:color w:val="000000"/>
                <w:sz w:val="24"/>
                <w:szCs w:val="24"/>
                <w:lang w:eastAsia="es-DO"/>
              </w:rPr>
            </w:pPr>
            <w:r w:rsidRPr="00B46391">
              <w:rPr>
                <w:rFonts w:ascii="Times New Roman" w:hAnsi="Times New Roman"/>
                <w:color w:val="000000"/>
                <w:sz w:val="24"/>
                <w:szCs w:val="24"/>
                <w:lang w:eastAsia="es-DO"/>
              </w:rPr>
              <w:t>Reuniones del Staff Ejecutivo</w:t>
            </w:r>
          </w:p>
        </w:tc>
        <w:tc>
          <w:tcPr>
            <w:tcW w:w="2112" w:type="dxa"/>
            <w:tcBorders>
              <w:top w:val="nil"/>
              <w:left w:val="nil"/>
              <w:bottom w:val="single" w:sz="8" w:space="0" w:color="auto"/>
              <w:right w:val="single" w:sz="8" w:space="0" w:color="auto"/>
            </w:tcBorders>
            <w:noWrap/>
            <w:vAlign w:val="center"/>
            <w:hideMark/>
          </w:tcPr>
          <w:p w14:paraId="33CB8389" w14:textId="77777777" w:rsidR="00B46391" w:rsidRPr="00B46391" w:rsidRDefault="00B46391" w:rsidP="00B46391">
            <w:pPr>
              <w:spacing w:after="0" w:line="240" w:lineRule="auto"/>
              <w:jc w:val="center"/>
              <w:rPr>
                <w:rFonts w:ascii="Times New Roman" w:hAnsi="Times New Roman"/>
                <w:color w:val="000000"/>
                <w:sz w:val="24"/>
                <w:szCs w:val="24"/>
                <w:lang w:eastAsia="es-DO"/>
              </w:rPr>
            </w:pPr>
            <w:r w:rsidRPr="00B46391">
              <w:rPr>
                <w:rFonts w:ascii="Times New Roman" w:hAnsi="Times New Roman"/>
                <w:color w:val="000000"/>
                <w:sz w:val="24"/>
                <w:szCs w:val="24"/>
                <w:lang w:eastAsia="es-DO"/>
              </w:rPr>
              <w:t>100%</w:t>
            </w:r>
          </w:p>
        </w:tc>
      </w:tr>
      <w:tr w:rsidR="00B46391" w:rsidRPr="00B46391" w14:paraId="2120B5C4" w14:textId="77777777" w:rsidTr="00B46391">
        <w:trPr>
          <w:trHeight w:val="463"/>
        </w:trPr>
        <w:tc>
          <w:tcPr>
            <w:tcW w:w="6688" w:type="dxa"/>
            <w:tcBorders>
              <w:top w:val="nil"/>
              <w:left w:val="single" w:sz="8" w:space="0" w:color="auto"/>
              <w:bottom w:val="single" w:sz="8" w:space="0" w:color="auto"/>
              <w:right w:val="single" w:sz="8" w:space="0" w:color="auto"/>
            </w:tcBorders>
            <w:vAlign w:val="center"/>
            <w:hideMark/>
          </w:tcPr>
          <w:p w14:paraId="0E9373BB" w14:textId="77777777" w:rsidR="00B46391" w:rsidRPr="00B46391" w:rsidRDefault="00B46391" w:rsidP="00B46391">
            <w:pPr>
              <w:spacing w:after="0" w:line="240" w:lineRule="auto"/>
              <w:rPr>
                <w:rFonts w:ascii="Times New Roman" w:hAnsi="Times New Roman"/>
                <w:color w:val="000000"/>
                <w:sz w:val="24"/>
                <w:szCs w:val="24"/>
                <w:lang w:eastAsia="es-DO"/>
              </w:rPr>
            </w:pPr>
            <w:r w:rsidRPr="00B46391">
              <w:rPr>
                <w:rFonts w:ascii="Times New Roman" w:hAnsi="Times New Roman"/>
                <w:color w:val="000000"/>
                <w:sz w:val="24"/>
                <w:szCs w:val="24"/>
                <w:lang w:eastAsia="es-DO"/>
              </w:rPr>
              <w:t xml:space="preserve">Reunión con el </w:t>
            </w:r>
            <w:proofErr w:type="gramStart"/>
            <w:r w:rsidRPr="00B46391">
              <w:rPr>
                <w:rFonts w:ascii="Times New Roman" w:hAnsi="Times New Roman"/>
                <w:color w:val="000000"/>
                <w:sz w:val="24"/>
                <w:szCs w:val="24"/>
                <w:lang w:eastAsia="es-DO"/>
              </w:rPr>
              <w:t>Ministro</w:t>
            </w:r>
            <w:proofErr w:type="gramEnd"/>
            <w:r w:rsidRPr="00B46391">
              <w:rPr>
                <w:rFonts w:ascii="Times New Roman" w:hAnsi="Times New Roman"/>
                <w:color w:val="000000"/>
                <w:sz w:val="24"/>
                <w:szCs w:val="24"/>
                <w:lang w:eastAsia="es-DO"/>
              </w:rPr>
              <w:t xml:space="preserve"> de Agricultura</w:t>
            </w:r>
          </w:p>
        </w:tc>
        <w:tc>
          <w:tcPr>
            <w:tcW w:w="2112" w:type="dxa"/>
            <w:tcBorders>
              <w:top w:val="nil"/>
              <w:left w:val="nil"/>
              <w:bottom w:val="single" w:sz="8" w:space="0" w:color="auto"/>
              <w:right w:val="single" w:sz="8" w:space="0" w:color="auto"/>
            </w:tcBorders>
            <w:noWrap/>
            <w:vAlign w:val="center"/>
            <w:hideMark/>
          </w:tcPr>
          <w:p w14:paraId="49CB8E59" w14:textId="77777777" w:rsidR="00B46391" w:rsidRPr="00B46391" w:rsidRDefault="00B46391" w:rsidP="00B46391">
            <w:pPr>
              <w:spacing w:after="0" w:line="240" w:lineRule="auto"/>
              <w:jc w:val="center"/>
              <w:rPr>
                <w:rFonts w:ascii="Times New Roman" w:hAnsi="Times New Roman"/>
                <w:color w:val="000000"/>
                <w:sz w:val="24"/>
                <w:szCs w:val="24"/>
                <w:lang w:eastAsia="es-DO"/>
              </w:rPr>
            </w:pPr>
            <w:r w:rsidRPr="00B46391">
              <w:rPr>
                <w:rFonts w:ascii="Times New Roman" w:hAnsi="Times New Roman"/>
                <w:color w:val="000000"/>
                <w:sz w:val="24"/>
                <w:szCs w:val="24"/>
                <w:lang w:eastAsia="es-DO"/>
              </w:rPr>
              <w:t>100%</w:t>
            </w:r>
          </w:p>
        </w:tc>
      </w:tr>
      <w:tr w:rsidR="00B46391" w:rsidRPr="00B46391" w14:paraId="2A9EDE35" w14:textId="77777777" w:rsidTr="00B46391">
        <w:trPr>
          <w:trHeight w:val="463"/>
        </w:trPr>
        <w:tc>
          <w:tcPr>
            <w:tcW w:w="6688" w:type="dxa"/>
            <w:tcBorders>
              <w:top w:val="nil"/>
              <w:left w:val="single" w:sz="8" w:space="0" w:color="auto"/>
              <w:bottom w:val="single" w:sz="8" w:space="0" w:color="auto"/>
              <w:right w:val="single" w:sz="8" w:space="0" w:color="auto"/>
            </w:tcBorders>
            <w:vAlign w:val="center"/>
            <w:hideMark/>
          </w:tcPr>
          <w:p w14:paraId="7EE9D3FA" w14:textId="77777777" w:rsidR="00B46391" w:rsidRPr="00B46391" w:rsidRDefault="00B46391" w:rsidP="00B46391">
            <w:pPr>
              <w:spacing w:after="0" w:line="240" w:lineRule="auto"/>
              <w:rPr>
                <w:rFonts w:ascii="Times New Roman" w:hAnsi="Times New Roman"/>
                <w:color w:val="000000"/>
                <w:sz w:val="24"/>
                <w:szCs w:val="24"/>
                <w:lang w:eastAsia="es-DO"/>
              </w:rPr>
            </w:pPr>
            <w:r w:rsidRPr="00B46391">
              <w:rPr>
                <w:rFonts w:ascii="Times New Roman" w:hAnsi="Times New Roman"/>
                <w:color w:val="000000"/>
                <w:sz w:val="24"/>
                <w:szCs w:val="24"/>
                <w:lang w:eastAsia="es-DO"/>
              </w:rPr>
              <w:t>Encuentros con productores</w:t>
            </w:r>
          </w:p>
        </w:tc>
        <w:tc>
          <w:tcPr>
            <w:tcW w:w="2112" w:type="dxa"/>
            <w:tcBorders>
              <w:top w:val="nil"/>
              <w:left w:val="nil"/>
              <w:bottom w:val="single" w:sz="8" w:space="0" w:color="auto"/>
              <w:right w:val="single" w:sz="8" w:space="0" w:color="auto"/>
            </w:tcBorders>
            <w:noWrap/>
            <w:vAlign w:val="center"/>
            <w:hideMark/>
          </w:tcPr>
          <w:p w14:paraId="6B760B5D" w14:textId="77777777" w:rsidR="00B46391" w:rsidRPr="00B46391" w:rsidRDefault="00B46391" w:rsidP="00B46391">
            <w:pPr>
              <w:spacing w:after="0" w:line="240" w:lineRule="auto"/>
              <w:jc w:val="center"/>
              <w:rPr>
                <w:rFonts w:ascii="Times New Roman" w:hAnsi="Times New Roman"/>
                <w:color w:val="000000"/>
                <w:sz w:val="24"/>
                <w:szCs w:val="24"/>
                <w:lang w:eastAsia="es-DO"/>
              </w:rPr>
            </w:pPr>
            <w:r w:rsidRPr="00B46391">
              <w:rPr>
                <w:rFonts w:ascii="Times New Roman" w:hAnsi="Times New Roman"/>
                <w:color w:val="000000"/>
                <w:sz w:val="24"/>
                <w:szCs w:val="24"/>
                <w:lang w:eastAsia="es-DO"/>
              </w:rPr>
              <w:t>100%</w:t>
            </w:r>
          </w:p>
        </w:tc>
      </w:tr>
      <w:tr w:rsidR="00B46391" w:rsidRPr="00B46391" w14:paraId="3804CB03" w14:textId="77777777" w:rsidTr="00B46391">
        <w:trPr>
          <w:trHeight w:val="449"/>
        </w:trPr>
        <w:tc>
          <w:tcPr>
            <w:tcW w:w="6688" w:type="dxa"/>
            <w:tcBorders>
              <w:top w:val="nil"/>
              <w:left w:val="single" w:sz="8" w:space="0" w:color="auto"/>
              <w:bottom w:val="single" w:sz="8" w:space="0" w:color="auto"/>
              <w:right w:val="single" w:sz="8" w:space="0" w:color="auto"/>
            </w:tcBorders>
            <w:shd w:val="clear" w:color="000000" w:fill="002060"/>
            <w:noWrap/>
            <w:vAlign w:val="center"/>
            <w:hideMark/>
          </w:tcPr>
          <w:p w14:paraId="2BBF4EA1" w14:textId="77777777" w:rsidR="00B46391" w:rsidRPr="00B46391" w:rsidRDefault="00B46391" w:rsidP="00B46391">
            <w:pPr>
              <w:spacing w:after="0" w:line="240" w:lineRule="auto"/>
              <w:rPr>
                <w:rFonts w:ascii="Times New Roman" w:hAnsi="Times New Roman"/>
                <w:b/>
                <w:bCs/>
                <w:color w:val="FFFFFF"/>
                <w:sz w:val="24"/>
                <w:szCs w:val="24"/>
                <w:lang w:eastAsia="es-DO"/>
              </w:rPr>
            </w:pPr>
            <w:r w:rsidRPr="00B46391">
              <w:rPr>
                <w:rFonts w:ascii="Times New Roman" w:hAnsi="Times New Roman"/>
                <w:b/>
                <w:bCs/>
                <w:color w:val="FFFFFF"/>
                <w:sz w:val="24"/>
                <w:szCs w:val="24"/>
                <w:lang w:eastAsia="es-DO"/>
              </w:rPr>
              <w:t>Porcentaje total de cumplimiento</w:t>
            </w:r>
          </w:p>
        </w:tc>
        <w:tc>
          <w:tcPr>
            <w:tcW w:w="2112" w:type="dxa"/>
            <w:tcBorders>
              <w:top w:val="nil"/>
              <w:left w:val="nil"/>
              <w:bottom w:val="single" w:sz="8" w:space="0" w:color="auto"/>
              <w:right w:val="single" w:sz="8" w:space="0" w:color="auto"/>
            </w:tcBorders>
            <w:shd w:val="clear" w:color="000000" w:fill="002060"/>
            <w:noWrap/>
            <w:vAlign w:val="center"/>
            <w:hideMark/>
          </w:tcPr>
          <w:p w14:paraId="653832E1" w14:textId="77777777" w:rsidR="00B46391" w:rsidRPr="00B46391" w:rsidRDefault="00B46391" w:rsidP="00B46391">
            <w:pPr>
              <w:spacing w:after="0" w:line="240" w:lineRule="auto"/>
              <w:jc w:val="center"/>
              <w:rPr>
                <w:rFonts w:ascii="Times New Roman" w:hAnsi="Times New Roman"/>
                <w:b/>
                <w:bCs/>
                <w:color w:val="000000"/>
                <w:sz w:val="24"/>
                <w:szCs w:val="24"/>
                <w:lang w:eastAsia="es-DO"/>
              </w:rPr>
            </w:pPr>
            <w:r w:rsidRPr="00B46391">
              <w:rPr>
                <w:rFonts w:ascii="Times New Roman" w:hAnsi="Times New Roman"/>
                <w:b/>
                <w:bCs/>
                <w:color w:val="FFFFFF" w:themeColor="background1"/>
                <w:sz w:val="24"/>
                <w:szCs w:val="24"/>
                <w:lang w:eastAsia="es-DO"/>
              </w:rPr>
              <w:t>100%</w:t>
            </w:r>
          </w:p>
        </w:tc>
      </w:tr>
    </w:tbl>
    <w:p w14:paraId="0269C00C" w14:textId="7478139B" w:rsidR="00AB2F5C" w:rsidRPr="00AB2F5C" w:rsidRDefault="00AB2F5C" w:rsidP="00AB2F5C">
      <w:pPr>
        <w:jc w:val="center"/>
        <w:rPr>
          <w:rFonts w:ascii="Times New Roman" w:hAnsi="Times New Roman"/>
          <w:i/>
          <w:iCs/>
          <w:sz w:val="18"/>
          <w:szCs w:val="18"/>
        </w:rPr>
      </w:pPr>
      <w:r w:rsidRPr="00AB2F5C">
        <w:rPr>
          <w:rFonts w:ascii="Times New Roman" w:hAnsi="Times New Roman"/>
          <w:b/>
          <w:bCs/>
          <w:i/>
          <w:iCs/>
          <w:sz w:val="18"/>
          <w:szCs w:val="18"/>
        </w:rPr>
        <w:t>Fuente</w:t>
      </w:r>
      <w:r w:rsidRPr="00AB2F5C">
        <w:rPr>
          <w:rFonts w:ascii="Times New Roman" w:hAnsi="Times New Roman"/>
          <w:i/>
          <w:iCs/>
          <w:sz w:val="18"/>
          <w:szCs w:val="18"/>
        </w:rPr>
        <w:t>: elaboración propia con datos obtenidos de las ejecuciones del POA 2025 de la Dirección Ejecutiva.</w:t>
      </w:r>
    </w:p>
    <w:p w14:paraId="34DBAA2F" w14:textId="318F8EB7" w:rsidR="00B46391" w:rsidRDefault="00B46391" w:rsidP="00B46391">
      <w:pPr>
        <w:pStyle w:val="Ttulo1"/>
        <w:numPr>
          <w:ilvl w:val="0"/>
          <w:numId w:val="1"/>
        </w:numPr>
        <w:spacing w:line="360" w:lineRule="auto"/>
        <w:ind w:left="0"/>
        <w:rPr>
          <w:rFonts w:ascii="Arial" w:hAnsi="Arial" w:cs="Arial"/>
          <w:b/>
          <w:bCs/>
          <w:sz w:val="24"/>
          <w:szCs w:val="24"/>
        </w:rPr>
      </w:pPr>
      <w:bookmarkStart w:id="28" w:name="_Toc226973079"/>
      <w:r w:rsidRPr="000348A8">
        <w:rPr>
          <w:rFonts w:ascii="Arial" w:hAnsi="Arial" w:cs="Arial"/>
          <w:b/>
          <w:bCs/>
          <w:sz w:val="24"/>
          <w:szCs w:val="24"/>
        </w:rPr>
        <w:t xml:space="preserve">Dirección </w:t>
      </w:r>
      <w:r w:rsidRPr="00B46391">
        <w:rPr>
          <w:rFonts w:ascii="Arial" w:hAnsi="Arial" w:cs="Arial"/>
          <w:b/>
          <w:bCs/>
          <w:sz w:val="24"/>
          <w:szCs w:val="24"/>
        </w:rPr>
        <w:t>de Abastecimiento, Distribución y Logística</w:t>
      </w:r>
      <w:bookmarkEnd w:id="28"/>
    </w:p>
    <w:p w14:paraId="3590E7C6" w14:textId="29548CAF" w:rsidR="00BB02BC" w:rsidRDefault="00B46391" w:rsidP="00B46391">
      <w:pPr>
        <w:jc w:val="both"/>
        <w:rPr>
          <w:rFonts w:ascii="Times New Roman" w:hAnsi="Times New Roman"/>
          <w:sz w:val="24"/>
          <w:szCs w:val="24"/>
        </w:rPr>
      </w:pPr>
      <w:r w:rsidRPr="00B46391">
        <w:rPr>
          <w:rFonts w:ascii="Times New Roman" w:hAnsi="Times New Roman"/>
          <w:sz w:val="24"/>
          <w:szCs w:val="24"/>
        </w:rPr>
        <w:t>La Dirección de Abastecimiento, Distribución y Logística registró un nivel de cumplimiento del 100 % en los objetivos programados para el período evaluado, evidenciando una gestión eficiente en la planificación y ejecución de los procesos de suministro institucional. Este desempeño estuvo sustentado en el abastecimiento oportuno de las Bodegas Móviles, los Mercados de Productores, las Ferias Agropecuarias y las Rutas Alimentarias (patanas), garantizando la disponibilidad continua de productos para la población. En este sentido, se fortalecieron los mecanismos logísticos y de distribución, asegurando la operatividad de los canales de comercialización y contribuyendo de manera directa al acceso a alimentos a precios asequibles, en coherencia con los objetivos institucionales del INESPRE.</w:t>
      </w:r>
    </w:p>
    <w:tbl>
      <w:tblPr>
        <w:tblW w:w="8500" w:type="dxa"/>
        <w:tblCellMar>
          <w:left w:w="70" w:type="dxa"/>
          <w:right w:w="70" w:type="dxa"/>
        </w:tblCellMar>
        <w:tblLook w:val="04A0" w:firstRow="1" w:lastRow="0" w:firstColumn="1" w:lastColumn="0" w:noHBand="0" w:noVBand="1"/>
      </w:tblPr>
      <w:tblGrid>
        <w:gridCol w:w="6460"/>
        <w:gridCol w:w="2040"/>
      </w:tblGrid>
      <w:tr w:rsidR="00AB2F5C" w:rsidRPr="00AB2F5C" w14:paraId="0468CE35" w14:textId="77777777" w:rsidTr="00AB2F5C">
        <w:trPr>
          <w:trHeight w:val="703"/>
        </w:trPr>
        <w:tc>
          <w:tcPr>
            <w:tcW w:w="8500" w:type="dxa"/>
            <w:gridSpan w:val="2"/>
            <w:tcBorders>
              <w:top w:val="nil"/>
              <w:left w:val="nil"/>
              <w:bottom w:val="single" w:sz="8" w:space="0" w:color="auto"/>
              <w:right w:val="nil"/>
            </w:tcBorders>
            <w:vAlign w:val="center"/>
            <w:hideMark/>
          </w:tcPr>
          <w:p w14:paraId="45987261" w14:textId="5474E703" w:rsidR="00AB2F5C" w:rsidRPr="00AB2F5C" w:rsidRDefault="00AB2F5C" w:rsidP="00AB2F5C">
            <w:pPr>
              <w:spacing w:after="0" w:line="240" w:lineRule="auto"/>
              <w:jc w:val="center"/>
              <w:rPr>
                <w:rFonts w:ascii="Times New Roman" w:hAnsi="Times New Roman"/>
                <w:b/>
                <w:bCs/>
                <w:color w:val="000000"/>
                <w:sz w:val="24"/>
                <w:szCs w:val="24"/>
                <w:lang w:eastAsia="es-DO"/>
              </w:rPr>
            </w:pPr>
            <w:r w:rsidRPr="00AB2F5C">
              <w:rPr>
                <w:rFonts w:ascii="Times New Roman" w:hAnsi="Times New Roman"/>
                <w:b/>
                <w:bCs/>
                <w:color w:val="000000"/>
                <w:sz w:val="24"/>
                <w:szCs w:val="24"/>
                <w:lang w:eastAsia="es-DO"/>
              </w:rPr>
              <w:t xml:space="preserve">Tabla </w:t>
            </w:r>
            <w:r>
              <w:rPr>
                <w:rFonts w:ascii="Times New Roman" w:hAnsi="Times New Roman"/>
                <w:b/>
                <w:bCs/>
                <w:color w:val="000000"/>
                <w:sz w:val="24"/>
                <w:szCs w:val="24"/>
                <w:lang w:eastAsia="es-DO"/>
              </w:rPr>
              <w:t>3</w:t>
            </w:r>
            <w:r w:rsidRPr="00AB2F5C">
              <w:rPr>
                <w:rFonts w:ascii="Times New Roman" w:hAnsi="Times New Roman"/>
                <w:b/>
                <w:bCs/>
                <w:sz w:val="24"/>
                <w:szCs w:val="24"/>
                <w:lang w:eastAsia="es-DO"/>
              </w:rPr>
              <w:t>.</w:t>
            </w:r>
            <w:r w:rsidRPr="00AB2F5C">
              <w:rPr>
                <w:rFonts w:ascii="Times New Roman" w:hAnsi="Times New Roman"/>
                <w:color w:val="000000"/>
                <w:sz w:val="24"/>
                <w:szCs w:val="24"/>
                <w:lang w:eastAsia="es-DO"/>
              </w:rPr>
              <w:t xml:space="preserve"> </w:t>
            </w:r>
            <w:r w:rsidRPr="00AB2F5C">
              <w:rPr>
                <w:rFonts w:ascii="Times New Roman" w:hAnsi="Times New Roman"/>
                <w:color w:val="000000"/>
                <w:lang w:eastAsia="es-DO"/>
              </w:rPr>
              <w:t>Resultados de la Dirección de Abastecimiento, Distribución y Logística, según objetivo, 202</w:t>
            </w:r>
            <w:r>
              <w:rPr>
                <w:rFonts w:ascii="Times New Roman" w:hAnsi="Times New Roman"/>
                <w:color w:val="000000"/>
                <w:lang w:eastAsia="es-DO"/>
              </w:rPr>
              <w:t>6</w:t>
            </w:r>
            <w:r w:rsidRPr="00AB2F5C">
              <w:rPr>
                <w:rFonts w:ascii="Times New Roman" w:hAnsi="Times New Roman"/>
                <w:color w:val="000000"/>
                <w:lang w:eastAsia="es-DO"/>
              </w:rPr>
              <w:t>.</w:t>
            </w:r>
          </w:p>
        </w:tc>
      </w:tr>
      <w:tr w:rsidR="00AB2F5C" w:rsidRPr="00AB2F5C" w14:paraId="079189F1" w14:textId="77777777" w:rsidTr="00AB2F5C">
        <w:trPr>
          <w:trHeight w:val="310"/>
        </w:trPr>
        <w:tc>
          <w:tcPr>
            <w:tcW w:w="850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43BB67FF" w14:textId="77777777" w:rsidR="00AB2F5C" w:rsidRPr="00AB2F5C" w:rsidRDefault="00AB2F5C" w:rsidP="00AB2F5C">
            <w:pPr>
              <w:spacing w:after="0" w:line="240" w:lineRule="auto"/>
              <w:jc w:val="center"/>
              <w:rPr>
                <w:rFonts w:ascii="Times New Roman" w:hAnsi="Times New Roman"/>
                <w:b/>
                <w:bCs/>
                <w:color w:val="FFFFFF"/>
                <w:sz w:val="24"/>
                <w:szCs w:val="24"/>
                <w:lang w:eastAsia="es-DO"/>
              </w:rPr>
            </w:pPr>
            <w:r w:rsidRPr="00AB2F5C">
              <w:rPr>
                <w:rFonts w:ascii="Times New Roman" w:hAnsi="Times New Roman"/>
                <w:b/>
                <w:bCs/>
                <w:color w:val="FFFFFF"/>
                <w:sz w:val="24"/>
                <w:szCs w:val="24"/>
                <w:lang w:eastAsia="es-DO"/>
              </w:rPr>
              <w:t>Dirección de Abastecimiento, Distribución y Logística</w:t>
            </w:r>
          </w:p>
        </w:tc>
      </w:tr>
      <w:tr w:rsidR="00AB2F5C" w:rsidRPr="00AB2F5C" w14:paraId="1E926C45" w14:textId="77777777" w:rsidTr="00AB2F5C">
        <w:trPr>
          <w:trHeight w:val="310"/>
        </w:trPr>
        <w:tc>
          <w:tcPr>
            <w:tcW w:w="6460" w:type="dxa"/>
            <w:tcBorders>
              <w:top w:val="nil"/>
              <w:left w:val="single" w:sz="8" w:space="0" w:color="auto"/>
              <w:bottom w:val="single" w:sz="8" w:space="0" w:color="auto"/>
              <w:right w:val="single" w:sz="8" w:space="0" w:color="auto"/>
            </w:tcBorders>
            <w:shd w:val="clear" w:color="000000" w:fill="002060"/>
            <w:noWrap/>
            <w:vAlign w:val="center"/>
            <w:hideMark/>
          </w:tcPr>
          <w:p w14:paraId="75659008" w14:textId="642E6CA8" w:rsidR="00AB2F5C" w:rsidRPr="00AB2F5C" w:rsidRDefault="005545E1" w:rsidP="00AB2F5C">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040" w:type="dxa"/>
            <w:tcBorders>
              <w:top w:val="nil"/>
              <w:left w:val="nil"/>
              <w:bottom w:val="single" w:sz="8" w:space="0" w:color="auto"/>
              <w:right w:val="single" w:sz="8" w:space="0" w:color="auto"/>
            </w:tcBorders>
            <w:shd w:val="clear" w:color="000000" w:fill="002060"/>
            <w:noWrap/>
            <w:vAlign w:val="center"/>
            <w:hideMark/>
          </w:tcPr>
          <w:p w14:paraId="5453668F" w14:textId="77777777" w:rsidR="00AB2F5C" w:rsidRPr="00AB2F5C" w:rsidRDefault="00AB2F5C" w:rsidP="00AB2F5C">
            <w:pPr>
              <w:spacing w:after="0" w:line="240" w:lineRule="auto"/>
              <w:jc w:val="center"/>
              <w:rPr>
                <w:rFonts w:ascii="Times New Roman" w:hAnsi="Times New Roman"/>
                <w:b/>
                <w:bCs/>
                <w:color w:val="FFFFFF"/>
                <w:sz w:val="24"/>
                <w:szCs w:val="24"/>
                <w:lang w:eastAsia="es-DO"/>
              </w:rPr>
            </w:pPr>
            <w:r w:rsidRPr="00AB2F5C">
              <w:rPr>
                <w:rFonts w:ascii="Times New Roman" w:hAnsi="Times New Roman"/>
                <w:b/>
                <w:bCs/>
                <w:color w:val="FFFFFF"/>
                <w:sz w:val="24"/>
                <w:szCs w:val="24"/>
                <w:lang w:eastAsia="es-DO"/>
              </w:rPr>
              <w:t>% Cumplimiento</w:t>
            </w:r>
          </w:p>
        </w:tc>
      </w:tr>
      <w:tr w:rsidR="00AB2F5C" w:rsidRPr="00AB2F5C" w14:paraId="4CFAB573" w14:textId="77777777" w:rsidTr="00AB2F5C">
        <w:trPr>
          <w:trHeight w:val="320"/>
        </w:trPr>
        <w:tc>
          <w:tcPr>
            <w:tcW w:w="6460" w:type="dxa"/>
            <w:tcBorders>
              <w:top w:val="nil"/>
              <w:left w:val="single" w:sz="4" w:space="0" w:color="auto"/>
              <w:bottom w:val="single" w:sz="8" w:space="0" w:color="auto"/>
              <w:right w:val="single" w:sz="8" w:space="0" w:color="auto"/>
            </w:tcBorders>
            <w:vAlign w:val="center"/>
            <w:hideMark/>
          </w:tcPr>
          <w:p w14:paraId="72505141" w14:textId="77777777" w:rsidR="00AB2F5C" w:rsidRPr="00AB2F5C" w:rsidRDefault="00AB2F5C" w:rsidP="00AB2F5C">
            <w:pPr>
              <w:spacing w:after="0" w:line="240" w:lineRule="auto"/>
              <w:rPr>
                <w:rFonts w:ascii="Times New Roman" w:hAnsi="Times New Roman"/>
                <w:color w:val="000000"/>
                <w:lang w:eastAsia="es-DO"/>
              </w:rPr>
            </w:pPr>
            <w:r w:rsidRPr="00AB2F5C">
              <w:rPr>
                <w:rFonts w:ascii="Times New Roman" w:hAnsi="Times New Roman"/>
                <w:color w:val="000000"/>
                <w:lang w:eastAsia="es-DO"/>
              </w:rPr>
              <w:t>Abastecimiento de Bodegas Móviles</w:t>
            </w:r>
          </w:p>
        </w:tc>
        <w:tc>
          <w:tcPr>
            <w:tcW w:w="2040" w:type="dxa"/>
            <w:tcBorders>
              <w:top w:val="nil"/>
              <w:left w:val="nil"/>
              <w:bottom w:val="single" w:sz="8" w:space="0" w:color="auto"/>
              <w:right w:val="single" w:sz="8" w:space="0" w:color="auto"/>
            </w:tcBorders>
            <w:noWrap/>
            <w:vAlign w:val="center"/>
            <w:hideMark/>
          </w:tcPr>
          <w:p w14:paraId="0E4A21AD" w14:textId="77777777" w:rsidR="00AB2F5C" w:rsidRPr="00AB2F5C" w:rsidRDefault="00AB2F5C" w:rsidP="00AB2F5C">
            <w:pPr>
              <w:spacing w:after="0" w:line="240" w:lineRule="auto"/>
              <w:jc w:val="center"/>
              <w:rPr>
                <w:rFonts w:ascii="Times New Roman" w:hAnsi="Times New Roman"/>
                <w:color w:val="000000"/>
                <w:sz w:val="24"/>
                <w:szCs w:val="24"/>
                <w:lang w:eastAsia="es-DO"/>
              </w:rPr>
            </w:pPr>
            <w:r w:rsidRPr="00AB2F5C">
              <w:rPr>
                <w:rFonts w:ascii="Times New Roman" w:hAnsi="Times New Roman"/>
                <w:color w:val="000000"/>
                <w:sz w:val="24"/>
                <w:szCs w:val="24"/>
                <w:lang w:eastAsia="es-DO"/>
              </w:rPr>
              <w:t>100%</w:t>
            </w:r>
          </w:p>
        </w:tc>
      </w:tr>
      <w:tr w:rsidR="00AB2F5C" w:rsidRPr="00AB2F5C" w14:paraId="57610783" w14:textId="77777777" w:rsidTr="00AB2F5C">
        <w:trPr>
          <w:trHeight w:val="320"/>
        </w:trPr>
        <w:tc>
          <w:tcPr>
            <w:tcW w:w="6460" w:type="dxa"/>
            <w:tcBorders>
              <w:top w:val="nil"/>
              <w:left w:val="single" w:sz="8" w:space="0" w:color="auto"/>
              <w:bottom w:val="single" w:sz="8" w:space="0" w:color="auto"/>
              <w:right w:val="single" w:sz="8" w:space="0" w:color="auto"/>
            </w:tcBorders>
            <w:vAlign w:val="center"/>
            <w:hideMark/>
          </w:tcPr>
          <w:p w14:paraId="490FE12E" w14:textId="77777777" w:rsidR="00AB2F5C" w:rsidRPr="00AB2F5C" w:rsidRDefault="00AB2F5C" w:rsidP="00AB2F5C">
            <w:pPr>
              <w:spacing w:after="0" w:line="240" w:lineRule="auto"/>
              <w:rPr>
                <w:rFonts w:ascii="Times New Roman" w:hAnsi="Times New Roman"/>
                <w:color w:val="000000"/>
                <w:sz w:val="24"/>
                <w:szCs w:val="24"/>
                <w:lang w:eastAsia="es-DO"/>
              </w:rPr>
            </w:pPr>
            <w:r w:rsidRPr="00AB2F5C">
              <w:rPr>
                <w:rFonts w:ascii="Times New Roman" w:hAnsi="Times New Roman"/>
                <w:color w:val="000000"/>
                <w:sz w:val="24"/>
                <w:szCs w:val="24"/>
                <w:lang w:eastAsia="es-DO"/>
              </w:rPr>
              <w:t>Abastecimientos de Mercados de Productores</w:t>
            </w:r>
          </w:p>
        </w:tc>
        <w:tc>
          <w:tcPr>
            <w:tcW w:w="2040" w:type="dxa"/>
            <w:tcBorders>
              <w:top w:val="nil"/>
              <w:left w:val="nil"/>
              <w:bottom w:val="single" w:sz="8" w:space="0" w:color="auto"/>
              <w:right w:val="single" w:sz="8" w:space="0" w:color="auto"/>
            </w:tcBorders>
            <w:noWrap/>
            <w:vAlign w:val="center"/>
            <w:hideMark/>
          </w:tcPr>
          <w:p w14:paraId="013E8AD7" w14:textId="77777777" w:rsidR="00AB2F5C" w:rsidRPr="00AB2F5C" w:rsidRDefault="00AB2F5C" w:rsidP="00AB2F5C">
            <w:pPr>
              <w:spacing w:after="0" w:line="240" w:lineRule="auto"/>
              <w:jc w:val="center"/>
              <w:rPr>
                <w:rFonts w:ascii="Times New Roman" w:hAnsi="Times New Roman"/>
                <w:color w:val="000000"/>
                <w:sz w:val="24"/>
                <w:szCs w:val="24"/>
                <w:lang w:eastAsia="es-DO"/>
              </w:rPr>
            </w:pPr>
            <w:r w:rsidRPr="00AB2F5C">
              <w:rPr>
                <w:rFonts w:ascii="Times New Roman" w:hAnsi="Times New Roman"/>
                <w:color w:val="000000"/>
                <w:sz w:val="24"/>
                <w:szCs w:val="24"/>
                <w:lang w:eastAsia="es-DO"/>
              </w:rPr>
              <w:t>100%</w:t>
            </w:r>
          </w:p>
        </w:tc>
      </w:tr>
      <w:tr w:rsidR="00AB2F5C" w:rsidRPr="00AB2F5C" w14:paraId="0210534E" w14:textId="77777777" w:rsidTr="00AB2F5C">
        <w:trPr>
          <w:trHeight w:val="320"/>
        </w:trPr>
        <w:tc>
          <w:tcPr>
            <w:tcW w:w="6460" w:type="dxa"/>
            <w:tcBorders>
              <w:top w:val="nil"/>
              <w:left w:val="single" w:sz="8" w:space="0" w:color="auto"/>
              <w:bottom w:val="single" w:sz="8" w:space="0" w:color="auto"/>
              <w:right w:val="single" w:sz="8" w:space="0" w:color="auto"/>
            </w:tcBorders>
            <w:vAlign w:val="center"/>
            <w:hideMark/>
          </w:tcPr>
          <w:p w14:paraId="406A0947" w14:textId="77777777" w:rsidR="00AB2F5C" w:rsidRPr="00AB2F5C" w:rsidRDefault="00AB2F5C" w:rsidP="00AB2F5C">
            <w:pPr>
              <w:spacing w:after="0" w:line="240" w:lineRule="auto"/>
              <w:rPr>
                <w:rFonts w:ascii="Times New Roman" w:hAnsi="Times New Roman"/>
                <w:color w:val="000000"/>
                <w:sz w:val="24"/>
                <w:szCs w:val="24"/>
                <w:lang w:eastAsia="es-DO"/>
              </w:rPr>
            </w:pPr>
            <w:r w:rsidRPr="00AB2F5C">
              <w:rPr>
                <w:rFonts w:ascii="Times New Roman" w:hAnsi="Times New Roman"/>
                <w:color w:val="000000"/>
                <w:sz w:val="24"/>
                <w:szCs w:val="24"/>
                <w:lang w:eastAsia="es-DO"/>
              </w:rPr>
              <w:t>Abastecimientos de Ferias Agropecuarias</w:t>
            </w:r>
          </w:p>
        </w:tc>
        <w:tc>
          <w:tcPr>
            <w:tcW w:w="2040" w:type="dxa"/>
            <w:tcBorders>
              <w:top w:val="nil"/>
              <w:left w:val="nil"/>
              <w:bottom w:val="single" w:sz="8" w:space="0" w:color="auto"/>
              <w:right w:val="single" w:sz="8" w:space="0" w:color="auto"/>
            </w:tcBorders>
            <w:noWrap/>
            <w:vAlign w:val="center"/>
            <w:hideMark/>
          </w:tcPr>
          <w:p w14:paraId="3EF2C22F" w14:textId="77777777" w:rsidR="00AB2F5C" w:rsidRPr="00AB2F5C" w:rsidRDefault="00AB2F5C" w:rsidP="00AB2F5C">
            <w:pPr>
              <w:spacing w:after="0" w:line="240" w:lineRule="auto"/>
              <w:jc w:val="center"/>
              <w:rPr>
                <w:rFonts w:ascii="Times New Roman" w:hAnsi="Times New Roman"/>
                <w:color w:val="000000"/>
                <w:sz w:val="24"/>
                <w:szCs w:val="24"/>
                <w:lang w:eastAsia="es-DO"/>
              </w:rPr>
            </w:pPr>
            <w:r w:rsidRPr="00AB2F5C">
              <w:rPr>
                <w:rFonts w:ascii="Times New Roman" w:hAnsi="Times New Roman"/>
                <w:color w:val="000000"/>
                <w:sz w:val="24"/>
                <w:szCs w:val="24"/>
                <w:lang w:eastAsia="es-DO"/>
              </w:rPr>
              <w:t>100%</w:t>
            </w:r>
          </w:p>
        </w:tc>
      </w:tr>
      <w:tr w:rsidR="00AB2F5C" w:rsidRPr="00AB2F5C" w14:paraId="5E4F6DBE" w14:textId="77777777" w:rsidTr="00AB2F5C">
        <w:trPr>
          <w:trHeight w:val="320"/>
        </w:trPr>
        <w:tc>
          <w:tcPr>
            <w:tcW w:w="6460" w:type="dxa"/>
            <w:tcBorders>
              <w:top w:val="single" w:sz="4" w:space="0" w:color="4472C4"/>
              <w:left w:val="nil"/>
              <w:bottom w:val="single" w:sz="4" w:space="0" w:color="4472C4"/>
              <w:right w:val="nil"/>
            </w:tcBorders>
            <w:vAlign w:val="center"/>
            <w:hideMark/>
          </w:tcPr>
          <w:p w14:paraId="47587CBA" w14:textId="77777777" w:rsidR="00AB2F5C" w:rsidRPr="00AB2F5C" w:rsidRDefault="00AB2F5C" w:rsidP="00AB2F5C">
            <w:pPr>
              <w:spacing w:after="0" w:line="240" w:lineRule="auto"/>
              <w:rPr>
                <w:rFonts w:ascii="Times New Roman" w:hAnsi="Times New Roman"/>
                <w:color w:val="000000"/>
                <w:lang w:eastAsia="es-DO"/>
              </w:rPr>
            </w:pPr>
            <w:r w:rsidRPr="00AB2F5C">
              <w:rPr>
                <w:rFonts w:ascii="Times New Roman" w:hAnsi="Times New Roman"/>
                <w:color w:val="000000"/>
                <w:lang w:eastAsia="es-DO"/>
              </w:rPr>
              <w:t>Abastecimiento de Rutas Alimentarias (Patanas)</w:t>
            </w:r>
          </w:p>
        </w:tc>
        <w:tc>
          <w:tcPr>
            <w:tcW w:w="2040" w:type="dxa"/>
            <w:tcBorders>
              <w:top w:val="nil"/>
              <w:left w:val="single" w:sz="8" w:space="0" w:color="auto"/>
              <w:bottom w:val="single" w:sz="8" w:space="0" w:color="auto"/>
              <w:right w:val="single" w:sz="8" w:space="0" w:color="auto"/>
            </w:tcBorders>
            <w:noWrap/>
            <w:vAlign w:val="center"/>
            <w:hideMark/>
          </w:tcPr>
          <w:p w14:paraId="28B5B78D" w14:textId="77777777" w:rsidR="00AB2F5C" w:rsidRPr="00AB2F5C" w:rsidRDefault="00AB2F5C" w:rsidP="00AB2F5C">
            <w:pPr>
              <w:spacing w:after="0" w:line="240" w:lineRule="auto"/>
              <w:jc w:val="center"/>
              <w:rPr>
                <w:rFonts w:ascii="Times New Roman" w:hAnsi="Times New Roman"/>
                <w:color w:val="000000"/>
                <w:sz w:val="24"/>
                <w:szCs w:val="24"/>
                <w:lang w:eastAsia="es-DO"/>
              </w:rPr>
            </w:pPr>
            <w:r w:rsidRPr="00AB2F5C">
              <w:rPr>
                <w:rFonts w:ascii="Times New Roman" w:hAnsi="Times New Roman"/>
                <w:color w:val="000000"/>
                <w:sz w:val="24"/>
                <w:szCs w:val="24"/>
                <w:lang w:eastAsia="es-DO"/>
              </w:rPr>
              <w:t>100%</w:t>
            </w:r>
          </w:p>
        </w:tc>
      </w:tr>
      <w:tr w:rsidR="00AB2F5C" w:rsidRPr="00AB2F5C" w14:paraId="63104367" w14:textId="77777777" w:rsidTr="00AB2F5C">
        <w:trPr>
          <w:trHeight w:val="310"/>
        </w:trPr>
        <w:tc>
          <w:tcPr>
            <w:tcW w:w="6460"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14:paraId="283203D7" w14:textId="77777777" w:rsidR="00AB2F5C" w:rsidRPr="00AB2F5C" w:rsidRDefault="00AB2F5C" w:rsidP="00AB2F5C">
            <w:pPr>
              <w:spacing w:after="0" w:line="240" w:lineRule="auto"/>
              <w:rPr>
                <w:rFonts w:ascii="Times New Roman" w:hAnsi="Times New Roman"/>
                <w:b/>
                <w:bCs/>
                <w:color w:val="FFFFFF"/>
                <w:sz w:val="24"/>
                <w:szCs w:val="24"/>
                <w:lang w:eastAsia="es-DO"/>
              </w:rPr>
            </w:pPr>
            <w:r w:rsidRPr="00AB2F5C">
              <w:rPr>
                <w:rFonts w:ascii="Times New Roman" w:hAnsi="Times New Roman"/>
                <w:b/>
                <w:bCs/>
                <w:color w:val="FFFFFF"/>
                <w:sz w:val="24"/>
                <w:szCs w:val="24"/>
                <w:lang w:eastAsia="es-DO"/>
              </w:rPr>
              <w:t>Porcentaje total de cumplimiento</w:t>
            </w:r>
          </w:p>
        </w:tc>
        <w:tc>
          <w:tcPr>
            <w:tcW w:w="2040" w:type="dxa"/>
            <w:tcBorders>
              <w:top w:val="nil"/>
              <w:left w:val="nil"/>
              <w:bottom w:val="single" w:sz="8" w:space="0" w:color="auto"/>
              <w:right w:val="single" w:sz="8" w:space="0" w:color="auto"/>
            </w:tcBorders>
            <w:shd w:val="clear" w:color="000000" w:fill="002060"/>
            <w:noWrap/>
            <w:vAlign w:val="center"/>
            <w:hideMark/>
          </w:tcPr>
          <w:p w14:paraId="21CA2593" w14:textId="77777777" w:rsidR="00AB2F5C" w:rsidRPr="00AB2F5C" w:rsidRDefault="00AB2F5C" w:rsidP="00AB2F5C">
            <w:pPr>
              <w:spacing w:after="0" w:line="240" w:lineRule="auto"/>
              <w:jc w:val="center"/>
              <w:rPr>
                <w:rFonts w:ascii="Times New Roman" w:hAnsi="Times New Roman"/>
                <w:b/>
                <w:bCs/>
                <w:color w:val="FFFFFF"/>
                <w:sz w:val="24"/>
                <w:szCs w:val="24"/>
                <w:lang w:eastAsia="es-DO"/>
              </w:rPr>
            </w:pPr>
            <w:r w:rsidRPr="00AB2F5C">
              <w:rPr>
                <w:rFonts w:ascii="Times New Roman" w:hAnsi="Times New Roman"/>
                <w:b/>
                <w:bCs/>
                <w:color w:val="FFFFFF"/>
                <w:sz w:val="24"/>
                <w:szCs w:val="24"/>
                <w:lang w:eastAsia="es-DO"/>
              </w:rPr>
              <w:t>100%</w:t>
            </w:r>
          </w:p>
        </w:tc>
      </w:tr>
      <w:tr w:rsidR="00AB2F5C" w:rsidRPr="00AB2F5C" w14:paraId="7228FF33" w14:textId="77777777" w:rsidTr="00AB2F5C">
        <w:trPr>
          <w:trHeight w:val="600"/>
        </w:trPr>
        <w:tc>
          <w:tcPr>
            <w:tcW w:w="8500" w:type="dxa"/>
            <w:gridSpan w:val="2"/>
            <w:tcBorders>
              <w:top w:val="single" w:sz="8" w:space="0" w:color="auto"/>
              <w:left w:val="nil"/>
              <w:bottom w:val="nil"/>
              <w:right w:val="nil"/>
            </w:tcBorders>
            <w:vAlign w:val="center"/>
            <w:hideMark/>
          </w:tcPr>
          <w:p w14:paraId="1381DB59" w14:textId="77777777" w:rsidR="00AB2F5C" w:rsidRDefault="00AB2F5C" w:rsidP="00AB2F5C">
            <w:pPr>
              <w:spacing w:after="0" w:line="240" w:lineRule="auto"/>
              <w:jc w:val="center"/>
              <w:rPr>
                <w:rFonts w:ascii="Times New Roman" w:hAnsi="Times New Roman"/>
                <w:color w:val="000000"/>
                <w:sz w:val="20"/>
                <w:szCs w:val="20"/>
                <w:lang w:eastAsia="es-DO"/>
              </w:rPr>
            </w:pPr>
            <w:r w:rsidRPr="00AB2F5C">
              <w:rPr>
                <w:rFonts w:ascii="Times New Roman" w:hAnsi="Times New Roman"/>
                <w:b/>
                <w:bCs/>
                <w:i/>
                <w:iCs/>
                <w:color w:val="000000"/>
                <w:sz w:val="18"/>
                <w:szCs w:val="18"/>
                <w:lang w:eastAsia="es-DO"/>
              </w:rPr>
              <w:t>Fuente</w:t>
            </w:r>
            <w:r w:rsidRPr="00AB2F5C">
              <w:rPr>
                <w:rFonts w:ascii="Times New Roman" w:hAnsi="Times New Roman"/>
                <w:i/>
                <w:iCs/>
                <w:color w:val="000000"/>
                <w:sz w:val="18"/>
                <w:szCs w:val="18"/>
                <w:lang w:eastAsia="es-DO"/>
              </w:rPr>
              <w:t>: elaboración propia con datos obtenidos de las ejecuciones del POA 202</w:t>
            </w:r>
            <w:r>
              <w:rPr>
                <w:rFonts w:ascii="Times New Roman" w:hAnsi="Times New Roman"/>
                <w:i/>
                <w:iCs/>
                <w:color w:val="000000"/>
                <w:sz w:val="18"/>
                <w:szCs w:val="18"/>
                <w:lang w:eastAsia="es-DO"/>
              </w:rPr>
              <w:t>6</w:t>
            </w:r>
            <w:r w:rsidRPr="00AB2F5C">
              <w:rPr>
                <w:rFonts w:ascii="Times New Roman" w:hAnsi="Times New Roman"/>
                <w:i/>
                <w:iCs/>
                <w:color w:val="000000"/>
                <w:sz w:val="18"/>
                <w:szCs w:val="18"/>
                <w:lang w:eastAsia="es-DO"/>
              </w:rPr>
              <w:t xml:space="preserve"> de la Dirección de Abastecimiento, Distribución y Logística</w:t>
            </w:r>
            <w:r w:rsidRPr="00AB2F5C">
              <w:rPr>
                <w:rFonts w:ascii="Times New Roman" w:hAnsi="Times New Roman"/>
                <w:color w:val="000000"/>
                <w:sz w:val="20"/>
                <w:szCs w:val="20"/>
                <w:lang w:eastAsia="es-DO"/>
              </w:rPr>
              <w:t>.</w:t>
            </w:r>
          </w:p>
          <w:p w14:paraId="65E2EBA3" w14:textId="77777777" w:rsidR="00AB2F5C" w:rsidRDefault="00AB2F5C" w:rsidP="00AB2F5C">
            <w:pPr>
              <w:spacing w:after="0" w:line="240" w:lineRule="auto"/>
              <w:jc w:val="center"/>
              <w:rPr>
                <w:rFonts w:ascii="Times New Roman" w:hAnsi="Times New Roman"/>
                <w:color w:val="000000"/>
                <w:sz w:val="20"/>
                <w:szCs w:val="20"/>
                <w:lang w:eastAsia="es-DO"/>
              </w:rPr>
            </w:pPr>
          </w:p>
          <w:p w14:paraId="5D8DA495" w14:textId="77777777" w:rsidR="00AB2F5C" w:rsidRDefault="00AB2F5C" w:rsidP="00AB2F5C">
            <w:pPr>
              <w:spacing w:after="0" w:line="240" w:lineRule="auto"/>
              <w:jc w:val="center"/>
              <w:rPr>
                <w:rFonts w:ascii="Times New Roman" w:hAnsi="Times New Roman"/>
                <w:color w:val="000000"/>
                <w:sz w:val="20"/>
                <w:szCs w:val="20"/>
                <w:lang w:eastAsia="es-DO"/>
              </w:rPr>
            </w:pPr>
          </w:p>
          <w:p w14:paraId="13444982" w14:textId="77777777" w:rsidR="00AB2F5C" w:rsidRDefault="00AB2F5C" w:rsidP="00AB2F5C">
            <w:pPr>
              <w:spacing w:after="0" w:line="240" w:lineRule="auto"/>
              <w:jc w:val="center"/>
              <w:rPr>
                <w:rFonts w:ascii="Times New Roman" w:hAnsi="Times New Roman"/>
                <w:color w:val="000000"/>
                <w:sz w:val="20"/>
                <w:szCs w:val="20"/>
                <w:lang w:eastAsia="es-DO"/>
              </w:rPr>
            </w:pPr>
          </w:p>
          <w:p w14:paraId="3FFABD5F" w14:textId="77777777" w:rsidR="00AB2F5C" w:rsidRDefault="00AB2F5C" w:rsidP="00AB2F5C">
            <w:pPr>
              <w:spacing w:after="0" w:line="240" w:lineRule="auto"/>
              <w:jc w:val="center"/>
              <w:rPr>
                <w:rFonts w:ascii="Times New Roman" w:hAnsi="Times New Roman"/>
                <w:color w:val="000000"/>
                <w:sz w:val="20"/>
                <w:szCs w:val="20"/>
                <w:lang w:eastAsia="es-DO"/>
              </w:rPr>
            </w:pPr>
          </w:p>
          <w:p w14:paraId="01F6BFCE" w14:textId="6139A4C4" w:rsidR="00AB2F5C" w:rsidRPr="00AB2F5C" w:rsidRDefault="00AB2F5C" w:rsidP="00AB2F5C">
            <w:pPr>
              <w:spacing w:after="0" w:line="240" w:lineRule="auto"/>
              <w:jc w:val="center"/>
              <w:rPr>
                <w:rFonts w:ascii="Times New Roman" w:hAnsi="Times New Roman"/>
                <w:b/>
                <w:bCs/>
                <w:color w:val="000000"/>
                <w:sz w:val="20"/>
                <w:szCs w:val="20"/>
                <w:lang w:eastAsia="es-DO"/>
              </w:rPr>
            </w:pPr>
          </w:p>
        </w:tc>
      </w:tr>
    </w:tbl>
    <w:p w14:paraId="0E1C8DF0" w14:textId="51702DDA" w:rsidR="00AB2F5C" w:rsidRPr="00B764E4" w:rsidRDefault="00AB2F5C" w:rsidP="00AB2F5C">
      <w:pPr>
        <w:pStyle w:val="Ttulo1"/>
        <w:numPr>
          <w:ilvl w:val="0"/>
          <w:numId w:val="1"/>
        </w:numPr>
        <w:spacing w:line="360" w:lineRule="auto"/>
        <w:ind w:left="0"/>
        <w:rPr>
          <w:rFonts w:ascii="Times New Roman" w:hAnsi="Times New Roman" w:cs="Times New Roman"/>
          <w:b/>
          <w:bCs/>
          <w:sz w:val="24"/>
          <w:szCs w:val="24"/>
        </w:rPr>
      </w:pPr>
      <w:bookmarkStart w:id="29" w:name="_Toc226973080"/>
      <w:r w:rsidRPr="00B764E4">
        <w:rPr>
          <w:rFonts w:ascii="Times New Roman" w:hAnsi="Times New Roman" w:cs="Times New Roman"/>
          <w:b/>
          <w:bCs/>
          <w:sz w:val="24"/>
          <w:szCs w:val="24"/>
        </w:rPr>
        <w:lastRenderedPageBreak/>
        <w:t>Departamento de Normas, Sistemas, Supervisión y Seguimiento</w:t>
      </w:r>
      <w:bookmarkEnd w:id="29"/>
    </w:p>
    <w:p w14:paraId="54777E8F" w14:textId="55F1FEF9" w:rsidR="00AB2F5C" w:rsidRDefault="00AB2F5C" w:rsidP="00AB2F5C">
      <w:pPr>
        <w:jc w:val="both"/>
        <w:rPr>
          <w:rFonts w:ascii="Times New Roman" w:hAnsi="Times New Roman"/>
          <w:sz w:val="24"/>
          <w:szCs w:val="24"/>
        </w:rPr>
      </w:pPr>
      <w:r w:rsidRPr="00AB2F5C">
        <w:rPr>
          <w:rFonts w:ascii="Times New Roman" w:hAnsi="Times New Roman"/>
          <w:sz w:val="24"/>
          <w:szCs w:val="24"/>
        </w:rPr>
        <w:t xml:space="preserve">La División de Fiscalización registró un nivel de cumplimiento del </w:t>
      </w:r>
      <w:r w:rsidRPr="00AB2F5C">
        <w:rPr>
          <w:rFonts w:ascii="Times New Roman" w:hAnsi="Times New Roman"/>
          <w:b/>
          <w:bCs/>
          <w:sz w:val="24"/>
          <w:szCs w:val="24"/>
        </w:rPr>
        <w:t>100%</w:t>
      </w:r>
      <w:r w:rsidRPr="00AB2F5C">
        <w:rPr>
          <w:rFonts w:ascii="Times New Roman" w:hAnsi="Times New Roman"/>
          <w:sz w:val="24"/>
          <w:szCs w:val="24"/>
        </w:rPr>
        <w:t xml:space="preserve"> en las actividades programadas para el período evaluado, evidenciando una gestión eficiente en los procesos de control, verificación y seguimiento institucional. Este desempeño se sustentó en la revisión y monitoreo de las operaciones internas y externas, la supervisión de los movimientos de combustible, así como en la recepción, validación y tramitación de documentos, contratos y nóminas para el registro de expedientes de pago. De igual forma, se ejecutaron acciones de fiscalización en los principales canales de comercialización, incluyendo Ferias Agropecuarias, Bodegas Móviles y Mercados de Productores, garantizando la transparencia en su ejecución. Asimismo, se realizaron procesos de validación de inventarios de materiales, productos y activos fijos, junto con la fiscalización de pagos y nóminas, complementados con la elaboración de informes financieros mensuales y reportes operativos. En conjunto, estas acciones fortalecieron los mecanismos de control interno, contribuyendo a la transparencia, eficiencia y correcta gestión de los recursos institucionales.</w:t>
      </w:r>
    </w:p>
    <w:tbl>
      <w:tblPr>
        <w:tblW w:w="8500" w:type="dxa"/>
        <w:tblCellMar>
          <w:left w:w="70" w:type="dxa"/>
          <w:right w:w="70" w:type="dxa"/>
        </w:tblCellMar>
        <w:tblLook w:val="04A0" w:firstRow="1" w:lastRow="0" w:firstColumn="1" w:lastColumn="0" w:noHBand="0" w:noVBand="1"/>
      </w:tblPr>
      <w:tblGrid>
        <w:gridCol w:w="6247"/>
        <w:gridCol w:w="2253"/>
      </w:tblGrid>
      <w:tr w:rsidR="004C4019" w:rsidRPr="004C4019" w14:paraId="0DC1EA28" w14:textId="77777777" w:rsidTr="00BA6F83">
        <w:trPr>
          <w:trHeight w:val="594"/>
        </w:trPr>
        <w:tc>
          <w:tcPr>
            <w:tcW w:w="8500" w:type="dxa"/>
            <w:gridSpan w:val="2"/>
            <w:tcBorders>
              <w:top w:val="nil"/>
              <w:left w:val="nil"/>
              <w:bottom w:val="single" w:sz="8" w:space="0" w:color="auto"/>
              <w:right w:val="nil"/>
            </w:tcBorders>
            <w:vAlign w:val="center"/>
            <w:hideMark/>
          </w:tcPr>
          <w:p w14:paraId="64FE6051" w14:textId="617EEF37" w:rsidR="004C4019" w:rsidRPr="004C4019" w:rsidRDefault="004C4019" w:rsidP="004C4019">
            <w:pPr>
              <w:spacing w:after="0" w:line="240" w:lineRule="auto"/>
              <w:jc w:val="center"/>
              <w:rPr>
                <w:rFonts w:ascii="Times New Roman" w:hAnsi="Times New Roman"/>
                <w:b/>
                <w:bCs/>
                <w:color w:val="000000"/>
                <w:lang w:eastAsia="es-DO"/>
              </w:rPr>
            </w:pPr>
            <w:r w:rsidRPr="004C4019">
              <w:rPr>
                <w:rFonts w:ascii="Times New Roman" w:hAnsi="Times New Roman"/>
                <w:b/>
                <w:bCs/>
                <w:color w:val="000000"/>
                <w:lang w:eastAsia="es-DO"/>
              </w:rPr>
              <w:t>Tabla 4</w:t>
            </w:r>
            <w:r w:rsidRPr="004C4019">
              <w:rPr>
                <w:rFonts w:ascii="Times New Roman" w:hAnsi="Times New Roman"/>
                <w:b/>
                <w:bCs/>
                <w:lang w:eastAsia="es-DO"/>
              </w:rPr>
              <w:t>.</w:t>
            </w:r>
            <w:r w:rsidRPr="004C4019">
              <w:rPr>
                <w:rFonts w:ascii="Times New Roman" w:hAnsi="Times New Roman"/>
                <w:color w:val="000000"/>
                <w:lang w:eastAsia="es-DO"/>
              </w:rPr>
              <w:t xml:space="preserve"> Resultados del Departamento de Normas, Sistemas, Supervisión y Seguimiento, según objetivo, 2026.</w:t>
            </w:r>
          </w:p>
        </w:tc>
      </w:tr>
      <w:tr w:rsidR="004C4019" w:rsidRPr="004C4019" w14:paraId="4471A075" w14:textId="77777777" w:rsidTr="00BA6F83">
        <w:trPr>
          <w:trHeight w:val="307"/>
        </w:trPr>
        <w:tc>
          <w:tcPr>
            <w:tcW w:w="850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6340B521"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Departamento de Normas, Sistemas, Supervisión y Seguimiento</w:t>
            </w:r>
          </w:p>
        </w:tc>
      </w:tr>
      <w:tr w:rsidR="004C4019" w:rsidRPr="004C4019" w14:paraId="4540B0DE" w14:textId="77777777" w:rsidTr="00BA6F83">
        <w:trPr>
          <w:trHeight w:val="307"/>
        </w:trPr>
        <w:tc>
          <w:tcPr>
            <w:tcW w:w="6247" w:type="dxa"/>
            <w:tcBorders>
              <w:top w:val="nil"/>
              <w:left w:val="single" w:sz="8" w:space="0" w:color="auto"/>
              <w:bottom w:val="single" w:sz="8" w:space="0" w:color="auto"/>
              <w:right w:val="single" w:sz="8" w:space="0" w:color="auto"/>
            </w:tcBorders>
            <w:shd w:val="clear" w:color="000000" w:fill="002060"/>
            <w:noWrap/>
            <w:vAlign w:val="center"/>
            <w:hideMark/>
          </w:tcPr>
          <w:p w14:paraId="562590CE" w14:textId="34CD202C" w:rsidR="004C4019" w:rsidRPr="004C4019" w:rsidRDefault="005545E1" w:rsidP="004C4019">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252" w:type="dxa"/>
            <w:tcBorders>
              <w:top w:val="nil"/>
              <w:left w:val="nil"/>
              <w:bottom w:val="single" w:sz="8" w:space="0" w:color="auto"/>
              <w:right w:val="single" w:sz="8" w:space="0" w:color="auto"/>
            </w:tcBorders>
            <w:shd w:val="clear" w:color="000000" w:fill="002060"/>
            <w:noWrap/>
            <w:vAlign w:val="center"/>
            <w:hideMark/>
          </w:tcPr>
          <w:p w14:paraId="7A3102AD"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 Cumplimiento</w:t>
            </w:r>
          </w:p>
        </w:tc>
      </w:tr>
      <w:tr w:rsidR="004C4019" w:rsidRPr="004C4019" w14:paraId="0B438534" w14:textId="77777777" w:rsidTr="00BA6F83">
        <w:trPr>
          <w:trHeight w:val="703"/>
        </w:trPr>
        <w:tc>
          <w:tcPr>
            <w:tcW w:w="6247" w:type="dxa"/>
            <w:tcBorders>
              <w:top w:val="nil"/>
              <w:left w:val="single" w:sz="8" w:space="0" w:color="auto"/>
              <w:bottom w:val="nil"/>
              <w:right w:val="single" w:sz="8" w:space="0" w:color="auto"/>
            </w:tcBorders>
            <w:vAlign w:val="center"/>
            <w:hideMark/>
          </w:tcPr>
          <w:p w14:paraId="5DCDFE9A"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Revisión y monitoreo de las operaciones institucionales internas y externas</w:t>
            </w:r>
          </w:p>
        </w:tc>
        <w:tc>
          <w:tcPr>
            <w:tcW w:w="2252" w:type="dxa"/>
            <w:tcBorders>
              <w:top w:val="nil"/>
              <w:left w:val="nil"/>
              <w:bottom w:val="single" w:sz="8" w:space="0" w:color="auto"/>
              <w:right w:val="single" w:sz="8" w:space="0" w:color="auto"/>
            </w:tcBorders>
            <w:noWrap/>
            <w:vAlign w:val="center"/>
            <w:hideMark/>
          </w:tcPr>
          <w:p w14:paraId="42AD3E80"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2909C290" w14:textId="77777777" w:rsidTr="00BA6F83">
        <w:trPr>
          <w:trHeight w:val="713"/>
        </w:trPr>
        <w:tc>
          <w:tcPr>
            <w:tcW w:w="6247" w:type="dxa"/>
            <w:tcBorders>
              <w:top w:val="single" w:sz="4" w:space="0" w:color="auto"/>
              <w:left w:val="single" w:sz="4" w:space="0" w:color="auto"/>
              <w:bottom w:val="single" w:sz="4" w:space="0" w:color="auto"/>
              <w:right w:val="single" w:sz="4" w:space="0" w:color="auto"/>
            </w:tcBorders>
            <w:vAlign w:val="center"/>
            <w:hideMark/>
          </w:tcPr>
          <w:p w14:paraId="3859C10E"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Supervisión y monitoreo de las entradas y salidas del combustible que se utiliza en la institución</w:t>
            </w:r>
          </w:p>
        </w:tc>
        <w:tc>
          <w:tcPr>
            <w:tcW w:w="2252" w:type="dxa"/>
            <w:tcBorders>
              <w:top w:val="nil"/>
              <w:left w:val="single" w:sz="8" w:space="0" w:color="auto"/>
              <w:bottom w:val="single" w:sz="8" w:space="0" w:color="auto"/>
              <w:right w:val="single" w:sz="8" w:space="0" w:color="auto"/>
            </w:tcBorders>
            <w:noWrap/>
            <w:vAlign w:val="center"/>
            <w:hideMark/>
          </w:tcPr>
          <w:p w14:paraId="66501385"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48620BE6" w14:textId="77777777" w:rsidTr="00BA6F83">
        <w:trPr>
          <w:trHeight w:val="713"/>
        </w:trPr>
        <w:tc>
          <w:tcPr>
            <w:tcW w:w="6247" w:type="dxa"/>
            <w:tcBorders>
              <w:top w:val="nil"/>
              <w:left w:val="single" w:sz="4" w:space="0" w:color="auto"/>
              <w:bottom w:val="single" w:sz="4" w:space="0" w:color="auto"/>
              <w:right w:val="single" w:sz="4" w:space="0" w:color="auto"/>
            </w:tcBorders>
            <w:vAlign w:val="center"/>
            <w:hideMark/>
          </w:tcPr>
          <w:p w14:paraId="7679E1B4"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Recepción, revisión, corrección y entrega de documentos para el registro de expedientes de pago</w:t>
            </w:r>
          </w:p>
        </w:tc>
        <w:tc>
          <w:tcPr>
            <w:tcW w:w="2252" w:type="dxa"/>
            <w:tcBorders>
              <w:top w:val="nil"/>
              <w:left w:val="single" w:sz="8" w:space="0" w:color="auto"/>
              <w:bottom w:val="single" w:sz="8" w:space="0" w:color="auto"/>
              <w:right w:val="single" w:sz="8" w:space="0" w:color="auto"/>
            </w:tcBorders>
            <w:noWrap/>
            <w:vAlign w:val="center"/>
            <w:hideMark/>
          </w:tcPr>
          <w:p w14:paraId="3CD4BCF6"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71DC0B3A" w14:textId="77777777" w:rsidTr="00BA6F83">
        <w:trPr>
          <w:trHeight w:val="625"/>
        </w:trPr>
        <w:tc>
          <w:tcPr>
            <w:tcW w:w="6247" w:type="dxa"/>
            <w:tcBorders>
              <w:top w:val="nil"/>
              <w:left w:val="single" w:sz="4" w:space="0" w:color="auto"/>
              <w:bottom w:val="single" w:sz="4" w:space="0" w:color="auto"/>
              <w:right w:val="single" w:sz="4" w:space="0" w:color="auto"/>
            </w:tcBorders>
            <w:vAlign w:val="center"/>
            <w:hideMark/>
          </w:tcPr>
          <w:p w14:paraId="746F4AEC"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Recepción, revisión, corrección y entrega de contratos para el registro de expedientes de pago</w:t>
            </w:r>
          </w:p>
        </w:tc>
        <w:tc>
          <w:tcPr>
            <w:tcW w:w="2252" w:type="dxa"/>
            <w:tcBorders>
              <w:top w:val="nil"/>
              <w:left w:val="single" w:sz="8" w:space="0" w:color="auto"/>
              <w:bottom w:val="single" w:sz="8" w:space="0" w:color="auto"/>
              <w:right w:val="single" w:sz="8" w:space="0" w:color="auto"/>
            </w:tcBorders>
            <w:noWrap/>
            <w:vAlign w:val="center"/>
            <w:hideMark/>
          </w:tcPr>
          <w:p w14:paraId="6C9A2DCD"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7D86144D" w14:textId="77777777" w:rsidTr="00BA6F83">
        <w:trPr>
          <w:trHeight w:val="842"/>
        </w:trPr>
        <w:tc>
          <w:tcPr>
            <w:tcW w:w="6247" w:type="dxa"/>
            <w:tcBorders>
              <w:top w:val="nil"/>
              <w:left w:val="single" w:sz="4" w:space="0" w:color="auto"/>
              <w:bottom w:val="single" w:sz="4" w:space="0" w:color="auto"/>
              <w:right w:val="single" w:sz="4" w:space="0" w:color="auto"/>
            </w:tcBorders>
            <w:vAlign w:val="center"/>
            <w:hideMark/>
          </w:tcPr>
          <w:p w14:paraId="21A7B6B8"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Recepción, revisión y entrega de la nómina de empleados fijos para el registro de expedientes de pago</w:t>
            </w:r>
          </w:p>
        </w:tc>
        <w:tc>
          <w:tcPr>
            <w:tcW w:w="2252" w:type="dxa"/>
            <w:tcBorders>
              <w:top w:val="nil"/>
              <w:left w:val="single" w:sz="8" w:space="0" w:color="auto"/>
              <w:bottom w:val="single" w:sz="8" w:space="0" w:color="auto"/>
              <w:right w:val="single" w:sz="8" w:space="0" w:color="auto"/>
            </w:tcBorders>
            <w:noWrap/>
            <w:vAlign w:val="center"/>
            <w:hideMark/>
          </w:tcPr>
          <w:p w14:paraId="3A19740E"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199FBF01" w14:textId="77777777" w:rsidTr="00BA6F83">
        <w:trPr>
          <w:trHeight w:val="674"/>
        </w:trPr>
        <w:tc>
          <w:tcPr>
            <w:tcW w:w="6247" w:type="dxa"/>
            <w:tcBorders>
              <w:top w:val="nil"/>
              <w:left w:val="single" w:sz="4" w:space="0" w:color="auto"/>
              <w:bottom w:val="single" w:sz="4" w:space="0" w:color="auto"/>
              <w:right w:val="single" w:sz="4" w:space="0" w:color="auto"/>
            </w:tcBorders>
            <w:vAlign w:val="center"/>
            <w:hideMark/>
          </w:tcPr>
          <w:p w14:paraId="1BC5B84C"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Elaboración del informe general de las actividades de la División de Fiscalización</w:t>
            </w:r>
          </w:p>
        </w:tc>
        <w:tc>
          <w:tcPr>
            <w:tcW w:w="2252" w:type="dxa"/>
            <w:tcBorders>
              <w:top w:val="nil"/>
              <w:left w:val="single" w:sz="8" w:space="0" w:color="auto"/>
              <w:bottom w:val="single" w:sz="8" w:space="0" w:color="auto"/>
              <w:right w:val="single" w:sz="8" w:space="0" w:color="auto"/>
            </w:tcBorders>
            <w:noWrap/>
            <w:vAlign w:val="center"/>
            <w:hideMark/>
          </w:tcPr>
          <w:p w14:paraId="0B3C0BDC"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5877675A" w14:textId="77777777" w:rsidTr="00BA6F83">
        <w:trPr>
          <w:trHeight w:val="793"/>
        </w:trPr>
        <w:tc>
          <w:tcPr>
            <w:tcW w:w="6247" w:type="dxa"/>
            <w:tcBorders>
              <w:top w:val="nil"/>
              <w:left w:val="single" w:sz="4" w:space="0" w:color="auto"/>
              <w:bottom w:val="single" w:sz="4" w:space="0" w:color="auto"/>
              <w:right w:val="single" w:sz="4" w:space="0" w:color="auto"/>
            </w:tcBorders>
            <w:vAlign w:val="center"/>
            <w:hideMark/>
          </w:tcPr>
          <w:p w14:paraId="206F592A"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Realización del arqueo de acuerdo con los procedimientos establecidos</w:t>
            </w:r>
          </w:p>
        </w:tc>
        <w:tc>
          <w:tcPr>
            <w:tcW w:w="2252" w:type="dxa"/>
            <w:tcBorders>
              <w:top w:val="nil"/>
              <w:left w:val="single" w:sz="8" w:space="0" w:color="auto"/>
              <w:bottom w:val="single" w:sz="8" w:space="0" w:color="auto"/>
              <w:right w:val="single" w:sz="8" w:space="0" w:color="auto"/>
            </w:tcBorders>
            <w:noWrap/>
            <w:vAlign w:val="center"/>
            <w:hideMark/>
          </w:tcPr>
          <w:p w14:paraId="6ABC64E4"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6D25F6C1" w14:textId="77777777" w:rsidTr="00BA6F83">
        <w:trPr>
          <w:trHeight w:val="455"/>
        </w:trPr>
        <w:tc>
          <w:tcPr>
            <w:tcW w:w="6247" w:type="dxa"/>
            <w:tcBorders>
              <w:top w:val="nil"/>
              <w:left w:val="single" w:sz="4" w:space="0" w:color="auto"/>
              <w:bottom w:val="single" w:sz="4" w:space="0" w:color="auto"/>
              <w:right w:val="single" w:sz="4" w:space="0" w:color="auto"/>
            </w:tcBorders>
            <w:vAlign w:val="center"/>
            <w:hideMark/>
          </w:tcPr>
          <w:p w14:paraId="77C4D071"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de la ejecución de las Ferias Agropecuarias.</w:t>
            </w:r>
          </w:p>
        </w:tc>
        <w:tc>
          <w:tcPr>
            <w:tcW w:w="2252" w:type="dxa"/>
            <w:tcBorders>
              <w:top w:val="nil"/>
              <w:left w:val="single" w:sz="8" w:space="0" w:color="auto"/>
              <w:bottom w:val="single" w:sz="8" w:space="0" w:color="auto"/>
              <w:right w:val="single" w:sz="8" w:space="0" w:color="auto"/>
            </w:tcBorders>
            <w:noWrap/>
            <w:vAlign w:val="center"/>
            <w:hideMark/>
          </w:tcPr>
          <w:p w14:paraId="547D7CB4"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5B8C0F6B" w14:textId="77777777" w:rsidTr="00BA6F83">
        <w:trPr>
          <w:trHeight w:val="684"/>
        </w:trPr>
        <w:tc>
          <w:tcPr>
            <w:tcW w:w="6247" w:type="dxa"/>
            <w:tcBorders>
              <w:top w:val="nil"/>
              <w:left w:val="single" w:sz="4" w:space="0" w:color="auto"/>
              <w:bottom w:val="single" w:sz="4" w:space="0" w:color="auto"/>
              <w:right w:val="single" w:sz="4" w:space="0" w:color="auto"/>
            </w:tcBorders>
            <w:vAlign w:val="center"/>
            <w:hideMark/>
          </w:tcPr>
          <w:p w14:paraId="6478437F"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de la ejecución de las Bodegas Móviles</w:t>
            </w:r>
          </w:p>
        </w:tc>
        <w:tc>
          <w:tcPr>
            <w:tcW w:w="2252" w:type="dxa"/>
            <w:tcBorders>
              <w:top w:val="nil"/>
              <w:left w:val="single" w:sz="8" w:space="0" w:color="auto"/>
              <w:bottom w:val="single" w:sz="8" w:space="0" w:color="auto"/>
              <w:right w:val="single" w:sz="8" w:space="0" w:color="auto"/>
            </w:tcBorders>
            <w:noWrap/>
            <w:vAlign w:val="center"/>
            <w:hideMark/>
          </w:tcPr>
          <w:p w14:paraId="74C242DD"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6B8D4949" w14:textId="77777777" w:rsidTr="00BA6F83">
        <w:trPr>
          <w:trHeight w:val="754"/>
        </w:trPr>
        <w:tc>
          <w:tcPr>
            <w:tcW w:w="6247" w:type="dxa"/>
            <w:tcBorders>
              <w:top w:val="nil"/>
              <w:left w:val="single" w:sz="4" w:space="0" w:color="auto"/>
              <w:bottom w:val="single" w:sz="4" w:space="0" w:color="auto"/>
              <w:right w:val="single" w:sz="4" w:space="0" w:color="auto"/>
            </w:tcBorders>
            <w:vAlign w:val="center"/>
            <w:hideMark/>
          </w:tcPr>
          <w:p w14:paraId="273874E2"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de la ejecución de los Mercados de Productores</w:t>
            </w:r>
          </w:p>
        </w:tc>
        <w:tc>
          <w:tcPr>
            <w:tcW w:w="2252" w:type="dxa"/>
            <w:tcBorders>
              <w:top w:val="nil"/>
              <w:left w:val="single" w:sz="8" w:space="0" w:color="auto"/>
              <w:bottom w:val="single" w:sz="8" w:space="0" w:color="auto"/>
              <w:right w:val="single" w:sz="8" w:space="0" w:color="auto"/>
            </w:tcBorders>
            <w:noWrap/>
            <w:vAlign w:val="center"/>
            <w:hideMark/>
          </w:tcPr>
          <w:p w14:paraId="3BE8C2FD"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2955AF94" w14:textId="77777777" w:rsidTr="00BA6F83">
        <w:trPr>
          <w:trHeight w:val="713"/>
        </w:trPr>
        <w:tc>
          <w:tcPr>
            <w:tcW w:w="6247" w:type="dxa"/>
            <w:tcBorders>
              <w:top w:val="nil"/>
              <w:left w:val="single" w:sz="4" w:space="0" w:color="auto"/>
              <w:bottom w:val="single" w:sz="4" w:space="0" w:color="auto"/>
              <w:right w:val="single" w:sz="4" w:space="0" w:color="auto"/>
            </w:tcBorders>
            <w:vAlign w:val="center"/>
            <w:hideMark/>
          </w:tcPr>
          <w:p w14:paraId="26416C82"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lastRenderedPageBreak/>
              <w:t>Fiscalización y validación del inventario de materiales y suministros</w:t>
            </w:r>
          </w:p>
        </w:tc>
        <w:tc>
          <w:tcPr>
            <w:tcW w:w="2252" w:type="dxa"/>
            <w:tcBorders>
              <w:top w:val="nil"/>
              <w:left w:val="single" w:sz="8" w:space="0" w:color="auto"/>
              <w:bottom w:val="single" w:sz="8" w:space="0" w:color="auto"/>
              <w:right w:val="single" w:sz="8" w:space="0" w:color="auto"/>
            </w:tcBorders>
            <w:noWrap/>
            <w:vAlign w:val="center"/>
            <w:hideMark/>
          </w:tcPr>
          <w:p w14:paraId="36EC7BC9"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0E05A7C9" w14:textId="77777777" w:rsidTr="00BA6F83">
        <w:trPr>
          <w:trHeight w:val="465"/>
        </w:trPr>
        <w:tc>
          <w:tcPr>
            <w:tcW w:w="6247" w:type="dxa"/>
            <w:tcBorders>
              <w:top w:val="nil"/>
              <w:left w:val="single" w:sz="4" w:space="0" w:color="auto"/>
              <w:bottom w:val="single" w:sz="4" w:space="0" w:color="auto"/>
              <w:right w:val="single" w:sz="4" w:space="0" w:color="auto"/>
            </w:tcBorders>
            <w:vAlign w:val="center"/>
            <w:hideMark/>
          </w:tcPr>
          <w:p w14:paraId="573D8746"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y validación del inventario de productos</w:t>
            </w:r>
          </w:p>
        </w:tc>
        <w:tc>
          <w:tcPr>
            <w:tcW w:w="2252" w:type="dxa"/>
            <w:tcBorders>
              <w:top w:val="nil"/>
              <w:left w:val="single" w:sz="8" w:space="0" w:color="auto"/>
              <w:bottom w:val="single" w:sz="8" w:space="0" w:color="auto"/>
              <w:right w:val="single" w:sz="8" w:space="0" w:color="auto"/>
            </w:tcBorders>
            <w:noWrap/>
            <w:vAlign w:val="center"/>
            <w:hideMark/>
          </w:tcPr>
          <w:p w14:paraId="6E7B5F58"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467EE688" w14:textId="77777777" w:rsidTr="00BA6F83">
        <w:trPr>
          <w:trHeight w:val="525"/>
        </w:trPr>
        <w:tc>
          <w:tcPr>
            <w:tcW w:w="6247" w:type="dxa"/>
            <w:tcBorders>
              <w:top w:val="nil"/>
              <w:left w:val="single" w:sz="4" w:space="0" w:color="auto"/>
              <w:bottom w:val="single" w:sz="4" w:space="0" w:color="auto"/>
              <w:right w:val="single" w:sz="4" w:space="0" w:color="auto"/>
            </w:tcBorders>
            <w:vAlign w:val="center"/>
            <w:hideMark/>
          </w:tcPr>
          <w:p w14:paraId="0A028464"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Elaboración de informes de ingresos mensuales</w:t>
            </w:r>
          </w:p>
        </w:tc>
        <w:tc>
          <w:tcPr>
            <w:tcW w:w="2252" w:type="dxa"/>
            <w:tcBorders>
              <w:top w:val="nil"/>
              <w:left w:val="single" w:sz="8" w:space="0" w:color="auto"/>
              <w:bottom w:val="single" w:sz="8" w:space="0" w:color="auto"/>
              <w:right w:val="single" w:sz="8" w:space="0" w:color="auto"/>
            </w:tcBorders>
            <w:noWrap/>
            <w:vAlign w:val="center"/>
            <w:hideMark/>
          </w:tcPr>
          <w:p w14:paraId="1D9DB6EA"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05E572FA" w14:textId="77777777" w:rsidTr="00BA6F83">
        <w:trPr>
          <w:trHeight w:val="416"/>
        </w:trPr>
        <w:tc>
          <w:tcPr>
            <w:tcW w:w="6247" w:type="dxa"/>
            <w:tcBorders>
              <w:top w:val="nil"/>
              <w:left w:val="single" w:sz="4" w:space="0" w:color="auto"/>
              <w:bottom w:val="single" w:sz="4" w:space="0" w:color="auto"/>
              <w:right w:val="single" w:sz="4" w:space="0" w:color="auto"/>
            </w:tcBorders>
            <w:vAlign w:val="center"/>
            <w:hideMark/>
          </w:tcPr>
          <w:p w14:paraId="0D5EB9BD" w14:textId="0A59199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Elaboración de informes del gasto mensual.</w:t>
            </w:r>
          </w:p>
        </w:tc>
        <w:tc>
          <w:tcPr>
            <w:tcW w:w="2252" w:type="dxa"/>
            <w:tcBorders>
              <w:top w:val="nil"/>
              <w:left w:val="single" w:sz="8" w:space="0" w:color="auto"/>
              <w:bottom w:val="single" w:sz="8" w:space="0" w:color="auto"/>
              <w:right w:val="single" w:sz="8" w:space="0" w:color="auto"/>
            </w:tcBorders>
            <w:noWrap/>
            <w:vAlign w:val="center"/>
            <w:hideMark/>
          </w:tcPr>
          <w:p w14:paraId="06084255"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17086EB3" w14:textId="77777777" w:rsidTr="00BA6F83">
        <w:trPr>
          <w:trHeight w:val="445"/>
        </w:trPr>
        <w:tc>
          <w:tcPr>
            <w:tcW w:w="6247" w:type="dxa"/>
            <w:tcBorders>
              <w:top w:val="nil"/>
              <w:left w:val="single" w:sz="4" w:space="0" w:color="auto"/>
              <w:bottom w:val="single" w:sz="4" w:space="0" w:color="auto"/>
              <w:right w:val="single" w:sz="4" w:space="0" w:color="auto"/>
            </w:tcBorders>
            <w:vAlign w:val="center"/>
            <w:hideMark/>
          </w:tcPr>
          <w:p w14:paraId="4E7887DB"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y validación de los pagos por libramientos.</w:t>
            </w:r>
          </w:p>
        </w:tc>
        <w:tc>
          <w:tcPr>
            <w:tcW w:w="2252" w:type="dxa"/>
            <w:tcBorders>
              <w:top w:val="nil"/>
              <w:left w:val="single" w:sz="8" w:space="0" w:color="auto"/>
              <w:bottom w:val="single" w:sz="8" w:space="0" w:color="auto"/>
              <w:right w:val="single" w:sz="8" w:space="0" w:color="auto"/>
            </w:tcBorders>
            <w:noWrap/>
            <w:vAlign w:val="center"/>
            <w:hideMark/>
          </w:tcPr>
          <w:p w14:paraId="0100CEC1"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36F6E915" w14:textId="77777777" w:rsidTr="00BA6F83">
        <w:trPr>
          <w:trHeight w:val="377"/>
        </w:trPr>
        <w:tc>
          <w:tcPr>
            <w:tcW w:w="6247" w:type="dxa"/>
            <w:tcBorders>
              <w:top w:val="nil"/>
              <w:left w:val="single" w:sz="4" w:space="0" w:color="auto"/>
              <w:bottom w:val="single" w:sz="4" w:space="0" w:color="auto"/>
              <w:right w:val="single" w:sz="4" w:space="0" w:color="auto"/>
            </w:tcBorders>
            <w:vAlign w:val="center"/>
            <w:hideMark/>
          </w:tcPr>
          <w:p w14:paraId="398B7F6D"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y validación de la nómina</w:t>
            </w:r>
          </w:p>
        </w:tc>
        <w:tc>
          <w:tcPr>
            <w:tcW w:w="2252" w:type="dxa"/>
            <w:tcBorders>
              <w:top w:val="nil"/>
              <w:left w:val="single" w:sz="8" w:space="0" w:color="auto"/>
              <w:bottom w:val="single" w:sz="8" w:space="0" w:color="auto"/>
              <w:right w:val="single" w:sz="8" w:space="0" w:color="auto"/>
            </w:tcBorders>
            <w:noWrap/>
            <w:vAlign w:val="center"/>
            <w:hideMark/>
          </w:tcPr>
          <w:p w14:paraId="37A458FE"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36467106" w14:textId="77777777" w:rsidTr="00BA6F83">
        <w:trPr>
          <w:trHeight w:val="386"/>
        </w:trPr>
        <w:tc>
          <w:tcPr>
            <w:tcW w:w="6247" w:type="dxa"/>
            <w:tcBorders>
              <w:top w:val="nil"/>
              <w:left w:val="single" w:sz="4" w:space="0" w:color="auto"/>
              <w:bottom w:val="single" w:sz="4" w:space="0" w:color="auto"/>
              <w:right w:val="single" w:sz="4" w:space="0" w:color="auto"/>
            </w:tcBorders>
            <w:vAlign w:val="center"/>
            <w:hideMark/>
          </w:tcPr>
          <w:p w14:paraId="3958982E"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Fiscalización y validación del inventario de activo fijo</w:t>
            </w:r>
          </w:p>
        </w:tc>
        <w:tc>
          <w:tcPr>
            <w:tcW w:w="2252" w:type="dxa"/>
            <w:tcBorders>
              <w:top w:val="nil"/>
              <w:left w:val="single" w:sz="8" w:space="0" w:color="auto"/>
              <w:bottom w:val="single" w:sz="8" w:space="0" w:color="auto"/>
              <w:right w:val="single" w:sz="8" w:space="0" w:color="auto"/>
            </w:tcBorders>
            <w:noWrap/>
            <w:vAlign w:val="center"/>
            <w:hideMark/>
          </w:tcPr>
          <w:p w14:paraId="16D2F67A"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6D417B71" w14:textId="77777777" w:rsidTr="00BA6F83">
        <w:trPr>
          <w:trHeight w:val="307"/>
        </w:trPr>
        <w:tc>
          <w:tcPr>
            <w:tcW w:w="6247" w:type="dxa"/>
            <w:tcBorders>
              <w:top w:val="nil"/>
              <w:left w:val="single" w:sz="8" w:space="0" w:color="auto"/>
              <w:bottom w:val="single" w:sz="8" w:space="0" w:color="auto"/>
              <w:right w:val="single" w:sz="8" w:space="0" w:color="auto"/>
            </w:tcBorders>
            <w:shd w:val="clear" w:color="000000" w:fill="002060"/>
            <w:noWrap/>
            <w:vAlign w:val="center"/>
            <w:hideMark/>
          </w:tcPr>
          <w:p w14:paraId="476AD0B1" w14:textId="77777777" w:rsidR="004C4019" w:rsidRPr="004C4019" w:rsidRDefault="004C4019" w:rsidP="004C4019">
            <w:pPr>
              <w:spacing w:after="0" w:line="240" w:lineRule="auto"/>
              <w:rPr>
                <w:rFonts w:ascii="Times New Roman" w:hAnsi="Times New Roman"/>
                <w:b/>
                <w:bCs/>
                <w:color w:val="FFFFFF" w:themeColor="background1"/>
                <w:sz w:val="24"/>
                <w:szCs w:val="24"/>
                <w:lang w:eastAsia="es-DO"/>
              </w:rPr>
            </w:pPr>
            <w:r w:rsidRPr="004C4019">
              <w:rPr>
                <w:rFonts w:ascii="Times New Roman" w:hAnsi="Times New Roman"/>
                <w:b/>
                <w:bCs/>
                <w:color w:val="FFFFFF" w:themeColor="background1"/>
                <w:sz w:val="24"/>
                <w:szCs w:val="24"/>
                <w:lang w:eastAsia="es-DO"/>
              </w:rPr>
              <w:t>Porcentaje total de cumplimiento</w:t>
            </w:r>
          </w:p>
        </w:tc>
        <w:tc>
          <w:tcPr>
            <w:tcW w:w="2252" w:type="dxa"/>
            <w:tcBorders>
              <w:top w:val="nil"/>
              <w:left w:val="nil"/>
              <w:bottom w:val="single" w:sz="8" w:space="0" w:color="auto"/>
              <w:right w:val="single" w:sz="8" w:space="0" w:color="auto"/>
            </w:tcBorders>
            <w:shd w:val="clear" w:color="000000" w:fill="002060"/>
            <w:noWrap/>
            <w:vAlign w:val="center"/>
            <w:hideMark/>
          </w:tcPr>
          <w:p w14:paraId="67D4E426" w14:textId="77777777" w:rsidR="004C4019" w:rsidRPr="004C4019" w:rsidRDefault="004C4019" w:rsidP="004C4019">
            <w:pPr>
              <w:spacing w:after="0" w:line="240" w:lineRule="auto"/>
              <w:jc w:val="center"/>
              <w:rPr>
                <w:rFonts w:ascii="Times New Roman" w:hAnsi="Times New Roman"/>
                <w:b/>
                <w:bCs/>
                <w:color w:val="FFFFFF" w:themeColor="background1"/>
                <w:sz w:val="24"/>
                <w:szCs w:val="24"/>
                <w:lang w:eastAsia="es-DO"/>
              </w:rPr>
            </w:pPr>
            <w:r w:rsidRPr="004C4019">
              <w:rPr>
                <w:rFonts w:ascii="Times New Roman" w:hAnsi="Times New Roman"/>
                <w:b/>
                <w:bCs/>
                <w:color w:val="FFFFFF" w:themeColor="background1"/>
                <w:sz w:val="24"/>
                <w:szCs w:val="24"/>
                <w:lang w:eastAsia="es-DO"/>
              </w:rPr>
              <w:t>100%</w:t>
            </w:r>
          </w:p>
        </w:tc>
      </w:tr>
      <w:tr w:rsidR="004C4019" w:rsidRPr="004C4019" w14:paraId="46EBEBEF" w14:textId="77777777" w:rsidTr="00BA6F83">
        <w:trPr>
          <w:trHeight w:val="594"/>
        </w:trPr>
        <w:tc>
          <w:tcPr>
            <w:tcW w:w="8500" w:type="dxa"/>
            <w:gridSpan w:val="2"/>
            <w:tcBorders>
              <w:top w:val="single" w:sz="8" w:space="0" w:color="auto"/>
              <w:left w:val="nil"/>
              <w:bottom w:val="nil"/>
              <w:right w:val="nil"/>
            </w:tcBorders>
            <w:vAlign w:val="center"/>
            <w:hideMark/>
          </w:tcPr>
          <w:p w14:paraId="04297EA3" w14:textId="77777777" w:rsidR="004C4019" w:rsidRPr="004C4019" w:rsidRDefault="004C4019" w:rsidP="004C4019">
            <w:pPr>
              <w:spacing w:after="0" w:line="240" w:lineRule="auto"/>
              <w:jc w:val="center"/>
              <w:rPr>
                <w:rFonts w:ascii="Times New Roman" w:hAnsi="Times New Roman"/>
                <w:i/>
                <w:iCs/>
                <w:color w:val="000000"/>
                <w:sz w:val="18"/>
                <w:szCs w:val="18"/>
                <w:lang w:eastAsia="es-DO"/>
              </w:rPr>
            </w:pPr>
            <w:r w:rsidRPr="004C4019">
              <w:rPr>
                <w:rFonts w:ascii="Times New Roman" w:hAnsi="Times New Roman"/>
                <w:b/>
                <w:bCs/>
                <w:i/>
                <w:iCs/>
                <w:color w:val="000000"/>
                <w:sz w:val="18"/>
                <w:szCs w:val="18"/>
                <w:lang w:eastAsia="es-DO"/>
              </w:rPr>
              <w:t>Fuente:</w:t>
            </w:r>
            <w:r w:rsidRPr="004C4019">
              <w:rPr>
                <w:rFonts w:ascii="Times New Roman" w:hAnsi="Times New Roman"/>
                <w:i/>
                <w:iCs/>
                <w:color w:val="000000"/>
                <w:sz w:val="18"/>
                <w:szCs w:val="18"/>
                <w:lang w:eastAsia="es-DO"/>
              </w:rPr>
              <w:t xml:space="preserve"> elaboración propia con datos obtenidos de las ejecuciones del POA 2026 del Departamento de Normas, Sistemas, Supervisión y Seguimiento.</w:t>
            </w:r>
          </w:p>
        </w:tc>
      </w:tr>
    </w:tbl>
    <w:p w14:paraId="6EABE297" w14:textId="77777777" w:rsidR="004C4019" w:rsidRPr="004C4019" w:rsidRDefault="004C4019" w:rsidP="00AB2F5C">
      <w:pPr>
        <w:jc w:val="both"/>
        <w:rPr>
          <w:rFonts w:ascii="Times New Roman" w:hAnsi="Times New Roman"/>
          <w:color w:val="000000"/>
          <w:sz w:val="24"/>
          <w:szCs w:val="24"/>
          <w:lang w:eastAsia="es-DO"/>
        </w:rPr>
      </w:pPr>
    </w:p>
    <w:p w14:paraId="464ABE03" w14:textId="345A29E0" w:rsidR="004C4019" w:rsidRPr="004C4019" w:rsidRDefault="004C4019" w:rsidP="004C4019">
      <w:pPr>
        <w:pStyle w:val="Ttulo1"/>
        <w:numPr>
          <w:ilvl w:val="0"/>
          <w:numId w:val="1"/>
        </w:numPr>
        <w:spacing w:line="360" w:lineRule="auto"/>
        <w:ind w:left="0"/>
        <w:rPr>
          <w:rFonts w:ascii="Times New Roman" w:hAnsi="Times New Roman" w:cs="Times New Roman"/>
          <w:b/>
          <w:bCs/>
          <w:sz w:val="24"/>
          <w:szCs w:val="24"/>
        </w:rPr>
      </w:pPr>
      <w:bookmarkStart w:id="30" w:name="_Toc226973081"/>
      <w:r w:rsidRPr="004C4019">
        <w:rPr>
          <w:rFonts w:ascii="Times New Roman" w:hAnsi="Times New Roman" w:cs="Times New Roman"/>
          <w:b/>
          <w:bCs/>
          <w:sz w:val="24"/>
          <w:szCs w:val="24"/>
        </w:rPr>
        <w:t>Departamento de Seguridad Militar</w:t>
      </w:r>
      <w:bookmarkEnd w:id="30"/>
    </w:p>
    <w:p w14:paraId="04AD6075" w14:textId="6F27D482" w:rsidR="004C4019" w:rsidRPr="004C4019" w:rsidRDefault="004C4019" w:rsidP="004C4019">
      <w:pPr>
        <w:jc w:val="both"/>
        <w:rPr>
          <w:rFonts w:ascii="Times New Roman" w:hAnsi="Times New Roman"/>
          <w:sz w:val="24"/>
          <w:szCs w:val="24"/>
        </w:rPr>
      </w:pPr>
      <w:r w:rsidRPr="004C4019">
        <w:rPr>
          <w:rFonts w:ascii="Times New Roman" w:hAnsi="Times New Roman"/>
          <w:sz w:val="24"/>
          <w:szCs w:val="24"/>
        </w:rPr>
        <w:t>El Departamento de Seguridad Militar registró un nivel de cumplimiento del 100 % en las actividades programadas para el período evaluado, evidenciando una gestión eficaz en la protección y resguardo de las operaciones institucionales. Este desempeño se sustentó en la provisión de servicios de seguridad a las Bodegas Móviles, los Mercados de Productores, las Ferias Agropecuarias y los camiones de abastecimiento, así como en la protección de los funcionarios de la institución. Estas acciones garantizaron el desarrollo seguro de las actividades operativas, contribuyendo a la continuidad de los programas de comercialización y al fortalecimiento de la seguridad institucional.</w:t>
      </w:r>
    </w:p>
    <w:tbl>
      <w:tblPr>
        <w:tblW w:w="9612" w:type="dxa"/>
        <w:tblInd w:w="-556" w:type="dxa"/>
        <w:tblCellMar>
          <w:left w:w="70" w:type="dxa"/>
          <w:right w:w="70" w:type="dxa"/>
        </w:tblCellMar>
        <w:tblLook w:val="04A0" w:firstRow="1" w:lastRow="0" w:firstColumn="1" w:lastColumn="0" w:noHBand="0" w:noVBand="1"/>
      </w:tblPr>
      <w:tblGrid>
        <w:gridCol w:w="6677"/>
        <w:gridCol w:w="2935"/>
      </w:tblGrid>
      <w:tr w:rsidR="004C4019" w:rsidRPr="004C4019" w14:paraId="30F6B855" w14:textId="77777777" w:rsidTr="004C4019">
        <w:trPr>
          <w:trHeight w:val="744"/>
        </w:trPr>
        <w:tc>
          <w:tcPr>
            <w:tcW w:w="9612" w:type="dxa"/>
            <w:gridSpan w:val="2"/>
            <w:tcBorders>
              <w:top w:val="nil"/>
              <w:left w:val="nil"/>
              <w:bottom w:val="single" w:sz="8" w:space="0" w:color="auto"/>
              <w:right w:val="nil"/>
            </w:tcBorders>
            <w:vAlign w:val="center"/>
            <w:hideMark/>
          </w:tcPr>
          <w:p w14:paraId="62780222" w14:textId="783BDF34" w:rsidR="004C4019" w:rsidRPr="004C4019" w:rsidRDefault="004C4019" w:rsidP="004C4019">
            <w:pPr>
              <w:spacing w:after="0" w:line="240" w:lineRule="auto"/>
              <w:jc w:val="center"/>
              <w:rPr>
                <w:rFonts w:ascii="Times New Roman" w:hAnsi="Times New Roman"/>
                <w:b/>
                <w:bCs/>
                <w:color w:val="000000"/>
                <w:lang w:eastAsia="es-DO"/>
              </w:rPr>
            </w:pPr>
            <w:r w:rsidRPr="004C4019">
              <w:rPr>
                <w:rFonts w:ascii="Times New Roman" w:hAnsi="Times New Roman"/>
                <w:b/>
                <w:bCs/>
                <w:color w:val="000000"/>
                <w:lang w:eastAsia="es-DO"/>
              </w:rPr>
              <w:t>Tabla 5</w:t>
            </w:r>
            <w:r w:rsidRPr="004C4019">
              <w:rPr>
                <w:rFonts w:ascii="Times New Roman" w:hAnsi="Times New Roman"/>
                <w:b/>
                <w:bCs/>
                <w:lang w:eastAsia="es-DO"/>
              </w:rPr>
              <w:t>.</w:t>
            </w:r>
            <w:r w:rsidRPr="004C4019">
              <w:rPr>
                <w:rFonts w:ascii="Times New Roman" w:hAnsi="Times New Roman"/>
                <w:color w:val="000000"/>
                <w:lang w:eastAsia="es-DO"/>
              </w:rPr>
              <w:t xml:space="preserve"> Resultados del Departamento de Seguridad Militar, según objetivo, 2026.</w:t>
            </w:r>
          </w:p>
        </w:tc>
      </w:tr>
      <w:tr w:rsidR="004C4019" w:rsidRPr="004C4019" w14:paraId="1ABFEEA3" w14:textId="77777777" w:rsidTr="004C4019">
        <w:trPr>
          <w:trHeight w:val="384"/>
        </w:trPr>
        <w:tc>
          <w:tcPr>
            <w:tcW w:w="9612"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40A5087"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Departamento de Seguridad Militar</w:t>
            </w:r>
          </w:p>
        </w:tc>
      </w:tr>
      <w:tr w:rsidR="004C4019" w:rsidRPr="004C4019" w14:paraId="2331B137" w14:textId="77777777" w:rsidTr="004C4019">
        <w:trPr>
          <w:trHeight w:val="384"/>
        </w:trPr>
        <w:tc>
          <w:tcPr>
            <w:tcW w:w="6677" w:type="dxa"/>
            <w:tcBorders>
              <w:top w:val="nil"/>
              <w:left w:val="single" w:sz="8" w:space="0" w:color="auto"/>
              <w:bottom w:val="single" w:sz="8" w:space="0" w:color="auto"/>
              <w:right w:val="single" w:sz="8" w:space="0" w:color="auto"/>
            </w:tcBorders>
            <w:shd w:val="clear" w:color="000000" w:fill="002060"/>
            <w:noWrap/>
            <w:vAlign w:val="center"/>
            <w:hideMark/>
          </w:tcPr>
          <w:p w14:paraId="5032A168" w14:textId="18A2697C" w:rsidR="004C4019" w:rsidRPr="004C4019" w:rsidRDefault="005545E1" w:rsidP="004C4019">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935" w:type="dxa"/>
            <w:tcBorders>
              <w:top w:val="nil"/>
              <w:left w:val="nil"/>
              <w:bottom w:val="single" w:sz="8" w:space="0" w:color="auto"/>
              <w:right w:val="single" w:sz="8" w:space="0" w:color="auto"/>
            </w:tcBorders>
            <w:shd w:val="clear" w:color="000000" w:fill="002060"/>
            <w:noWrap/>
            <w:vAlign w:val="center"/>
            <w:hideMark/>
          </w:tcPr>
          <w:p w14:paraId="4166E37B"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 Cumplimiento</w:t>
            </w:r>
          </w:p>
        </w:tc>
      </w:tr>
      <w:tr w:rsidR="004C4019" w:rsidRPr="004C4019" w14:paraId="1148D27E" w14:textId="77777777" w:rsidTr="004C4019">
        <w:trPr>
          <w:trHeight w:val="397"/>
        </w:trPr>
        <w:tc>
          <w:tcPr>
            <w:tcW w:w="6677" w:type="dxa"/>
            <w:tcBorders>
              <w:top w:val="nil"/>
              <w:left w:val="single" w:sz="8" w:space="0" w:color="auto"/>
              <w:bottom w:val="single" w:sz="8" w:space="0" w:color="auto"/>
              <w:right w:val="single" w:sz="8" w:space="0" w:color="auto"/>
            </w:tcBorders>
            <w:vAlign w:val="center"/>
            <w:hideMark/>
          </w:tcPr>
          <w:p w14:paraId="4468420E"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Servicio de seguridad militar a las bodegas móviles.</w:t>
            </w:r>
          </w:p>
        </w:tc>
        <w:tc>
          <w:tcPr>
            <w:tcW w:w="2935" w:type="dxa"/>
            <w:tcBorders>
              <w:top w:val="nil"/>
              <w:left w:val="nil"/>
              <w:bottom w:val="single" w:sz="8" w:space="0" w:color="auto"/>
              <w:right w:val="single" w:sz="8" w:space="0" w:color="auto"/>
            </w:tcBorders>
            <w:noWrap/>
            <w:vAlign w:val="center"/>
            <w:hideMark/>
          </w:tcPr>
          <w:p w14:paraId="6EBAD9F7"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69B4A8B8" w14:textId="77777777" w:rsidTr="004C4019">
        <w:trPr>
          <w:trHeight w:val="397"/>
        </w:trPr>
        <w:tc>
          <w:tcPr>
            <w:tcW w:w="6677" w:type="dxa"/>
            <w:tcBorders>
              <w:top w:val="nil"/>
              <w:left w:val="single" w:sz="8" w:space="0" w:color="auto"/>
              <w:bottom w:val="single" w:sz="8" w:space="0" w:color="auto"/>
              <w:right w:val="single" w:sz="8" w:space="0" w:color="auto"/>
            </w:tcBorders>
            <w:vAlign w:val="center"/>
            <w:hideMark/>
          </w:tcPr>
          <w:p w14:paraId="31BFE5B2"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Servicio de seguridad militar a los mercados de productores.</w:t>
            </w:r>
          </w:p>
        </w:tc>
        <w:tc>
          <w:tcPr>
            <w:tcW w:w="2935" w:type="dxa"/>
            <w:tcBorders>
              <w:top w:val="nil"/>
              <w:left w:val="nil"/>
              <w:bottom w:val="single" w:sz="8" w:space="0" w:color="auto"/>
              <w:right w:val="single" w:sz="8" w:space="0" w:color="auto"/>
            </w:tcBorders>
            <w:noWrap/>
            <w:vAlign w:val="center"/>
            <w:hideMark/>
          </w:tcPr>
          <w:p w14:paraId="29DBA0CD"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23CB1D36" w14:textId="77777777" w:rsidTr="004C4019">
        <w:trPr>
          <w:trHeight w:val="397"/>
        </w:trPr>
        <w:tc>
          <w:tcPr>
            <w:tcW w:w="6677" w:type="dxa"/>
            <w:tcBorders>
              <w:top w:val="nil"/>
              <w:left w:val="single" w:sz="8" w:space="0" w:color="auto"/>
              <w:bottom w:val="single" w:sz="8" w:space="0" w:color="auto"/>
              <w:right w:val="single" w:sz="8" w:space="0" w:color="auto"/>
            </w:tcBorders>
            <w:vAlign w:val="center"/>
            <w:hideMark/>
          </w:tcPr>
          <w:p w14:paraId="52B9894A"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Servicio de seguridad militar a las ferias agropecuarias.</w:t>
            </w:r>
          </w:p>
        </w:tc>
        <w:tc>
          <w:tcPr>
            <w:tcW w:w="2935" w:type="dxa"/>
            <w:tcBorders>
              <w:top w:val="nil"/>
              <w:left w:val="nil"/>
              <w:bottom w:val="single" w:sz="8" w:space="0" w:color="auto"/>
              <w:right w:val="single" w:sz="8" w:space="0" w:color="auto"/>
            </w:tcBorders>
            <w:noWrap/>
            <w:vAlign w:val="center"/>
            <w:hideMark/>
          </w:tcPr>
          <w:p w14:paraId="32D4ABAF"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28895E4A" w14:textId="77777777" w:rsidTr="004C4019">
        <w:trPr>
          <w:trHeight w:val="397"/>
        </w:trPr>
        <w:tc>
          <w:tcPr>
            <w:tcW w:w="6677" w:type="dxa"/>
            <w:tcBorders>
              <w:top w:val="nil"/>
              <w:left w:val="single" w:sz="8" w:space="0" w:color="auto"/>
              <w:bottom w:val="single" w:sz="8" w:space="0" w:color="auto"/>
              <w:right w:val="single" w:sz="8" w:space="0" w:color="auto"/>
            </w:tcBorders>
            <w:vAlign w:val="center"/>
            <w:hideMark/>
          </w:tcPr>
          <w:p w14:paraId="422C62C7"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Servicio de seguridad militar a los camiones de abastecimiento.</w:t>
            </w:r>
          </w:p>
        </w:tc>
        <w:tc>
          <w:tcPr>
            <w:tcW w:w="2935" w:type="dxa"/>
            <w:tcBorders>
              <w:top w:val="nil"/>
              <w:left w:val="nil"/>
              <w:bottom w:val="single" w:sz="8" w:space="0" w:color="auto"/>
              <w:right w:val="single" w:sz="8" w:space="0" w:color="auto"/>
            </w:tcBorders>
            <w:noWrap/>
            <w:vAlign w:val="center"/>
            <w:hideMark/>
          </w:tcPr>
          <w:p w14:paraId="3BD6550B"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5CC2A8E2" w14:textId="77777777" w:rsidTr="004C4019">
        <w:trPr>
          <w:trHeight w:val="397"/>
        </w:trPr>
        <w:tc>
          <w:tcPr>
            <w:tcW w:w="6677" w:type="dxa"/>
            <w:tcBorders>
              <w:top w:val="nil"/>
              <w:left w:val="single" w:sz="8" w:space="0" w:color="auto"/>
              <w:bottom w:val="single" w:sz="8" w:space="0" w:color="auto"/>
              <w:right w:val="single" w:sz="8" w:space="0" w:color="auto"/>
            </w:tcBorders>
            <w:vAlign w:val="center"/>
            <w:hideMark/>
          </w:tcPr>
          <w:p w14:paraId="38F307D0"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Servicio de seguridad militar a los funcionarios.</w:t>
            </w:r>
          </w:p>
        </w:tc>
        <w:tc>
          <w:tcPr>
            <w:tcW w:w="2935" w:type="dxa"/>
            <w:tcBorders>
              <w:top w:val="nil"/>
              <w:left w:val="nil"/>
              <w:bottom w:val="single" w:sz="8" w:space="0" w:color="auto"/>
              <w:right w:val="single" w:sz="8" w:space="0" w:color="auto"/>
            </w:tcBorders>
            <w:noWrap/>
            <w:vAlign w:val="center"/>
            <w:hideMark/>
          </w:tcPr>
          <w:p w14:paraId="5E7F829D"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3E57D7E5" w14:textId="77777777" w:rsidTr="004C4019">
        <w:trPr>
          <w:trHeight w:val="384"/>
        </w:trPr>
        <w:tc>
          <w:tcPr>
            <w:tcW w:w="6677" w:type="dxa"/>
            <w:tcBorders>
              <w:top w:val="nil"/>
              <w:left w:val="single" w:sz="8" w:space="0" w:color="auto"/>
              <w:bottom w:val="single" w:sz="8" w:space="0" w:color="auto"/>
              <w:right w:val="single" w:sz="8" w:space="0" w:color="auto"/>
            </w:tcBorders>
            <w:shd w:val="clear" w:color="000000" w:fill="002060"/>
            <w:noWrap/>
            <w:vAlign w:val="center"/>
            <w:hideMark/>
          </w:tcPr>
          <w:p w14:paraId="32D5DCDD" w14:textId="77777777" w:rsidR="004C4019" w:rsidRPr="004C4019" w:rsidRDefault="004C4019" w:rsidP="004C4019">
            <w:pPr>
              <w:spacing w:after="0" w:line="240" w:lineRule="auto"/>
              <w:rPr>
                <w:rFonts w:ascii="Times New Roman" w:hAnsi="Times New Roman"/>
                <w:b/>
                <w:bCs/>
                <w:color w:val="FFFFFF" w:themeColor="background1"/>
                <w:sz w:val="24"/>
                <w:szCs w:val="24"/>
                <w:lang w:eastAsia="es-DO"/>
              </w:rPr>
            </w:pPr>
            <w:r w:rsidRPr="004C4019">
              <w:rPr>
                <w:rFonts w:ascii="Times New Roman" w:hAnsi="Times New Roman"/>
                <w:b/>
                <w:bCs/>
                <w:color w:val="FFFFFF" w:themeColor="background1"/>
                <w:sz w:val="24"/>
                <w:szCs w:val="24"/>
                <w:lang w:eastAsia="es-DO"/>
              </w:rPr>
              <w:t>Porcentaje total de cumplimiento</w:t>
            </w:r>
          </w:p>
        </w:tc>
        <w:tc>
          <w:tcPr>
            <w:tcW w:w="2935" w:type="dxa"/>
            <w:tcBorders>
              <w:top w:val="nil"/>
              <w:left w:val="nil"/>
              <w:bottom w:val="single" w:sz="8" w:space="0" w:color="auto"/>
              <w:right w:val="single" w:sz="8" w:space="0" w:color="auto"/>
            </w:tcBorders>
            <w:shd w:val="clear" w:color="000000" w:fill="002060"/>
            <w:noWrap/>
            <w:vAlign w:val="center"/>
            <w:hideMark/>
          </w:tcPr>
          <w:p w14:paraId="5186E04D" w14:textId="77777777" w:rsidR="004C4019" w:rsidRPr="004C4019" w:rsidRDefault="004C4019" w:rsidP="004C4019">
            <w:pPr>
              <w:spacing w:after="0" w:line="240" w:lineRule="auto"/>
              <w:jc w:val="center"/>
              <w:rPr>
                <w:rFonts w:ascii="Times New Roman" w:hAnsi="Times New Roman"/>
                <w:b/>
                <w:bCs/>
                <w:color w:val="000000"/>
                <w:sz w:val="24"/>
                <w:szCs w:val="24"/>
                <w:lang w:eastAsia="es-DO"/>
              </w:rPr>
            </w:pPr>
            <w:r w:rsidRPr="004C4019">
              <w:rPr>
                <w:rFonts w:ascii="Times New Roman" w:hAnsi="Times New Roman"/>
                <w:b/>
                <w:bCs/>
                <w:color w:val="FFFFFF" w:themeColor="background1"/>
                <w:sz w:val="24"/>
                <w:szCs w:val="24"/>
                <w:lang w:eastAsia="es-DO"/>
              </w:rPr>
              <w:t>100%</w:t>
            </w:r>
          </w:p>
        </w:tc>
      </w:tr>
      <w:tr w:rsidR="004C4019" w:rsidRPr="004C4019" w14:paraId="2E34B5E3" w14:textId="77777777" w:rsidTr="004C4019">
        <w:trPr>
          <w:trHeight w:val="744"/>
        </w:trPr>
        <w:tc>
          <w:tcPr>
            <w:tcW w:w="9612" w:type="dxa"/>
            <w:gridSpan w:val="2"/>
            <w:tcBorders>
              <w:top w:val="single" w:sz="8" w:space="0" w:color="auto"/>
              <w:left w:val="nil"/>
              <w:bottom w:val="nil"/>
              <w:right w:val="nil"/>
            </w:tcBorders>
            <w:vAlign w:val="center"/>
            <w:hideMark/>
          </w:tcPr>
          <w:p w14:paraId="4B023193" w14:textId="77777777" w:rsidR="004C4019" w:rsidRPr="004C4019" w:rsidRDefault="004C4019" w:rsidP="004C4019">
            <w:pPr>
              <w:spacing w:after="0" w:line="240" w:lineRule="auto"/>
              <w:jc w:val="center"/>
              <w:rPr>
                <w:rFonts w:ascii="Times New Roman" w:hAnsi="Times New Roman"/>
                <w:b/>
                <w:bCs/>
                <w:i/>
                <w:iCs/>
                <w:color w:val="000000"/>
                <w:sz w:val="18"/>
                <w:szCs w:val="18"/>
                <w:lang w:eastAsia="es-DO"/>
              </w:rPr>
            </w:pPr>
            <w:r w:rsidRPr="004C4019">
              <w:rPr>
                <w:rFonts w:ascii="Times New Roman" w:hAnsi="Times New Roman"/>
                <w:b/>
                <w:bCs/>
                <w:i/>
                <w:iCs/>
                <w:color w:val="000000"/>
                <w:sz w:val="18"/>
                <w:szCs w:val="18"/>
                <w:lang w:eastAsia="es-DO"/>
              </w:rPr>
              <w:t>Fuente</w:t>
            </w:r>
            <w:r w:rsidRPr="004C4019">
              <w:rPr>
                <w:rFonts w:ascii="Times New Roman" w:hAnsi="Times New Roman"/>
                <w:i/>
                <w:iCs/>
                <w:color w:val="000000"/>
                <w:sz w:val="18"/>
                <w:szCs w:val="18"/>
                <w:lang w:eastAsia="es-DO"/>
              </w:rPr>
              <w:t>: elaboración propia con datos obtenidos de las ejecuciones del POA 2026 del Departamento de Seguridad Militar.</w:t>
            </w:r>
          </w:p>
        </w:tc>
      </w:tr>
      <w:tr w:rsidR="004C4019" w:rsidRPr="004C4019" w14:paraId="3AD7077E" w14:textId="77777777" w:rsidTr="004C4019">
        <w:trPr>
          <w:trHeight w:val="359"/>
        </w:trPr>
        <w:tc>
          <w:tcPr>
            <w:tcW w:w="6677" w:type="dxa"/>
            <w:tcBorders>
              <w:top w:val="nil"/>
              <w:left w:val="nil"/>
              <w:bottom w:val="nil"/>
              <w:right w:val="nil"/>
            </w:tcBorders>
            <w:noWrap/>
            <w:vAlign w:val="bottom"/>
            <w:hideMark/>
          </w:tcPr>
          <w:p w14:paraId="37328501" w14:textId="77777777" w:rsidR="004C4019" w:rsidRPr="004C4019" w:rsidRDefault="004C4019" w:rsidP="004C4019">
            <w:pPr>
              <w:spacing w:after="0" w:line="240" w:lineRule="auto"/>
              <w:jc w:val="center"/>
              <w:rPr>
                <w:rFonts w:ascii="Times New Roman" w:hAnsi="Times New Roman"/>
                <w:b/>
                <w:bCs/>
                <w:color w:val="000000"/>
                <w:sz w:val="20"/>
                <w:szCs w:val="20"/>
                <w:lang w:eastAsia="es-DO"/>
              </w:rPr>
            </w:pPr>
          </w:p>
        </w:tc>
        <w:tc>
          <w:tcPr>
            <w:tcW w:w="2935" w:type="dxa"/>
            <w:tcBorders>
              <w:top w:val="nil"/>
              <w:left w:val="nil"/>
              <w:bottom w:val="nil"/>
              <w:right w:val="nil"/>
            </w:tcBorders>
            <w:noWrap/>
            <w:vAlign w:val="bottom"/>
            <w:hideMark/>
          </w:tcPr>
          <w:p w14:paraId="28255267" w14:textId="77777777" w:rsidR="004C4019" w:rsidRPr="004C4019" w:rsidRDefault="004C4019" w:rsidP="004C4019">
            <w:pPr>
              <w:spacing w:after="0" w:line="240" w:lineRule="auto"/>
              <w:rPr>
                <w:rFonts w:ascii="Times New Roman" w:hAnsi="Times New Roman"/>
                <w:sz w:val="20"/>
                <w:szCs w:val="20"/>
                <w:lang w:eastAsia="es-DO"/>
              </w:rPr>
            </w:pPr>
          </w:p>
        </w:tc>
      </w:tr>
    </w:tbl>
    <w:p w14:paraId="1CE0EDD3" w14:textId="77777777" w:rsidR="004C4019" w:rsidRPr="004C4019" w:rsidRDefault="004C4019" w:rsidP="004C4019"/>
    <w:p w14:paraId="1FA0275F" w14:textId="164EDAC0" w:rsidR="004C4019" w:rsidRDefault="004C4019" w:rsidP="004C4019">
      <w:pPr>
        <w:pStyle w:val="Ttulo1"/>
        <w:numPr>
          <w:ilvl w:val="0"/>
          <w:numId w:val="1"/>
        </w:numPr>
        <w:spacing w:line="360" w:lineRule="auto"/>
        <w:ind w:left="0"/>
        <w:rPr>
          <w:rFonts w:ascii="Times New Roman" w:hAnsi="Times New Roman" w:cs="Times New Roman"/>
          <w:b/>
          <w:bCs/>
          <w:sz w:val="24"/>
          <w:szCs w:val="24"/>
        </w:rPr>
      </w:pPr>
      <w:bookmarkStart w:id="31" w:name="_Toc226973082"/>
      <w:r w:rsidRPr="004C4019">
        <w:rPr>
          <w:rFonts w:ascii="Times New Roman" w:hAnsi="Times New Roman" w:cs="Times New Roman"/>
          <w:b/>
          <w:bCs/>
          <w:sz w:val="24"/>
          <w:szCs w:val="24"/>
        </w:rPr>
        <w:t>Departamento de Libre Acceso a la Información</w:t>
      </w:r>
      <w:bookmarkEnd w:id="31"/>
    </w:p>
    <w:p w14:paraId="027EBBAB" w14:textId="5A92394F" w:rsidR="004C4019" w:rsidRDefault="004C4019" w:rsidP="004C4019">
      <w:pPr>
        <w:jc w:val="both"/>
        <w:rPr>
          <w:rFonts w:ascii="Times New Roman" w:hAnsi="Times New Roman"/>
          <w:sz w:val="24"/>
          <w:szCs w:val="24"/>
        </w:rPr>
      </w:pPr>
      <w:r w:rsidRPr="004C4019">
        <w:rPr>
          <w:rFonts w:ascii="Times New Roman" w:hAnsi="Times New Roman"/>
          <w:sz w:val="24"/>
          <w:szCs w:val="24"/>
        </w:rPr>
        <w:t>El Departamento de Libre Acceso a la Información registró un nivel de cumplimiento del 100 % en las actividades programadas para el período evaluado, evidenciando una gestión orientada a la transparencia y al acceso oportuno a la información pública. Este desempeño se sustentó en la atención efectiva de las solicitudes ciudadanas y en el cumplimiento de las publicaciones establecidas, así como en la ejecución de las actividades contempladas en el Plan de Trabajo de la Comisión de Integridad Gubernamental y Cumplimiento Normativo (CIGCN). Estas acciones contribuyeron al fortalecimiento de los mecanismos de rendición de cuentas y al cumplimiento de las normativas vigentes en materia de acceso a la información.</w:t>
      </w:r>
    </w:p>
    <w:tbl>
      <w:tblPr>
        <w:tblW w:w="8560" w:type="dxa"/>
        <w:tblCellMar>
          <w:left w:w="70" w:type="dxa"/>
          <w:right w:w="70" w:type="dxa"/>
        </w:tblCellMar>
        <w:tblLook w:val="04A0" w:firstRow="1" w:lastRow="0" w:firstColumn="1" w:lastColumn="0" w:noHBand="0" w:noVBand="1"/>
      </w:tblPr>
      <w:tblGrid>
        <w:gridCol w:w="5946"/>
        <w:gridCol w:w="2614"/>
      </w:tblGrid>
      <w:tr w:rsidR="004C4019" w:rsidRPr="004C4019" w14:paraId="793B3A4E" w14:textId="77777777" w:rsidTr="00BA6F83">
        <w:trPr>
          <w:trHeight w:val="741"/>
        </w:trPr>
        <w:tc>
          <w:tcPr>
            <w:tcW w:w="8560" w:type="dxa"/>
            <w:gridSpan w:val="2"/>
            <w:tcBorders>
              <w:top w:val="nil"/>
              <w:left w:val="nil"/>
              <w:bottom w:val="single" w:sz="8" w:space="0" w:color="auto"/>
              <w:right w:val="nil"/>
            </w:tcBorders>
            <w:vAlign w:val="center"/>
            <w:hideMark/>
          </w:tcPr>
          <w:p w14:paraId="1B3C7402" w14:textId="4499CE32" w:rsidR="004C4019" w:rsidRPr="004C4019" w:rsidRDefault="004C4019" w:rsidP="004C4019">
            <w:pPr>
              <w:spacing w:after="0" w:line="240" w:lineRule="auto"/>
              <w:jc w:val="center"/>
              <w:rPr>
                <w:rFonts w:ascii="Times New Roman" w:hAnsi="Times New Roman"/>
                <w:b/>
                <w:bCs/>
                <w:color w:val="000000"/>
                <w:sz w:val="24"/>
                <w:szCs w:val="24"/>
                <w:lang w:eastAsia="es-DO"/>
              </w:rPr>
            </w:pPr>
            <w:r w:rsidRPr="004C4019">
              <w:rPr>
                <w:rFonts w:ascii="Times New Roman" w:hAnsi="Times New Roman"/>
                <w:b/>
                <w:bCs/>
                <w:color w:val="000000"/>
                <w:lang w:eastAsia="es-DO"/>
              </w:rPr>
              <w:t>Tabla 6</w:t>
            </w:r>
            <w:r w:rsidR="00B764E4">
              <w:rPr>
                <w:rFonts w:ascii="Times New Roman" w:hAnsi="Times New Roman"/>
                <w:b/>
                <w:bCs/>
                <w:color w:val="000000"/>
                <w:lang w:eastAsia="es-DO"/>
              </w:rPr>
              <w:t>.</w:t>
            </w:r>
            <w:r w:rsidRPr="004C4019">
              <w:rPr>
                <w:rFonts w:ascii="Times New Roman" w:hAnsi="Times New Roman"/>
                <w:color w:val="000000"/>
                <w:lang w:eastAsia="es-DO"/>
              </w:rPr>
              <w:t xml:space="preserve"> Resultados de la Oficina de Libre Acceso a la Información, según objetivo, 2026</w:t>
            </w:r>
            <w:r w:rsidRPr="004C4019">
              <w:rPr>
                <w:rFonts w:ascii="Times New Roman" w:hAnsi="Times New Roman"/>
                <w:color w:val="000000"/>
                <w:sz w:val="24"/>
                <w:szCs w:val="24"/>
                <w:lang w:eastAsia="es-DO"/>
              </w:rPr>
              <w:t>.</w:t>
            </w:r>
          </w:p>
        </w:tc>
      </w:tr>
      <w:tr w:rsidR="004C4019" w:rsidRPr="004C4019" w14:paraId="48EE6386" w14:textId="77777777" w:rsidTr="00BA6F83">
        <w:trPr>
          <w:trHeight w:val="327"/>
        </w:trPr>
        <w:tc>
          <w:tcPr>
            <w:tcW w:w="856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7038AA69"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Oficina de Libre Acceso a la Información</w:t>
            </w:r>
          </w:p>
        </w:tc>
      </w:tr>
      <w:tr w:rsidR="004C4019" w:rsidRPr="004C4019" w14:paraId="36747CA4" w14:textId="77777777" w:rsidTr="00BA6F83">
        <w:trPr>
          <w:trHeight w:val="327"/>
        </w:trPr>
        <w:tc>
          <w:tcPr>
            <w:tcW w:w="5946" w:type="dxa"/>
            <w:tcBorders>
              <w:top w:val="nil"/>
              <w:left w:val="single" w:sz="8" w:space="0" w:color="auto"/>
              <w:bottom w:val="single" w:sz="8" w:space="0" w:color="auto"/>
              <w:right w:val="single" w:sz="8" w:space="0" w:color="auto"/>
            </w:tcBorders>
            <w:shd w:val="clear" w:color="000000" w:fill="002060"/>
            <w:noWrap/>
            <w:vAlign w:val="center"/>
            <w:hideMark/>
          </w:tcPr>
          <w:p w14:paraId="7C6CDC60" w14:textId="30B5F9AA" w:rsidR="004C4019" w:rsidRPr="004C4019" w:rsidRDefault="005545E1" w:rsidP="004C4019">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614" w:type="dxa"/>
            <w:tcBorders>
              <w:top w:val="nil"/>
              <w:left w:val="nil"/>
              <w:bottom w:val="single" w:sz="8" w:space="0" w:color="auto"/>
              <w:right w:val="single" w:sz="8" w:space="0" w:color="auto"/>
            </w:tcBorders>
            <w:shd w:val="clear" w:color="000000" w:fill="002060"/>
            <w:noWrap/>
            <w:vAlign w:val="center"/>
            <w:hideMark/>
          </w:tcPr>
          <w:p w14:paraId="774F40C3"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 Cumplimiento</w:t>
            </w:r>
          </w:p>
        </w:tc>
      </w:tr>
      <w:tr w:rsidR="004C4019" w:rsidRPr="004C4019" w14:paraId="39AAA470" w14:textId="77777777" w:rsidTr="00BA6F83">
        <w:trPr>
          <w:trHeight w:val="664"/>
        </w:trPr>
        <w:tc>
          <w:tcPr>
            <w:tcW w:w="5946" w:type="dxa"/>
            <w:tcBorders>
              <w:top w:val="nil"/>
              <w:left w:val="single" w:sz="8" w:space="0" w:color="auto"/>
              <w:bottom w:val="single" w:sz="8" w:space="0" w:color="auto"/>
              <w:right w:val="single" w:sz="8" w:space="0" w:color="auto"/>
            </w:tcBorders>
            <w:vAlign w:val="center"/>
            <w:hideMark/>
          </w:tcPr>
          <w:p w14:paraId="2DDE6689"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Respuesta a las solicitudes ciudadanos y cumplimiento de las publicaciones.</w:t>
            </w:r>
          </w:p>
        </w:tc>
        <w:tc>
          <w:tcPr>
            <w:tcW w:w="2614" w:type="dxa"/>
            <w:tcBorders>
              <w:top w:val="nil"/>
              <w:left w:val="nil"/>
              <w:bottom w:val="single" w:sz="8" w:space="0" w:color="auto"/>
              <w:right w:val="single" w:sz="8" w:space="0" w:color="auto"/>
            </w:tcBorders>
            <w:noWrap/>
            <w:vAlign w:val="center"/>
            <w:hideMark/>
          </w:tcPr>
          <w:p w14:paraId="48107022"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228D14A4" w14:textId="77777777" w:rsidTr="00BA6F83">
        <w:trPr>
          <w:trHeight w:val="886"/>
        </w:trPr>
        <w:tc>
          <w:tcPr>
            <w:tcW w:w="5946" w:type="dxa"/>
            <w:tcBorders>
              <w:top w:val="nil"/>
              <w:left w:val="single" w:sz="8" w:space="0" w:color="auto"/>
              <w:bottom w:val="single" w:sz="8" w:space="0" w:color="auto"/>
              <w:right w:val="single" w:sz="8" w:space="0" w:color="auto"/>
            </w:tcBorders>
            <w:vAlign w:val="center"/>
            <w:hideMark/>
          </w:tcPr>
          <w:p w14:paraId="62733F97" w14:textId="77777777" w:rsidR="004C4019" w:rsidRPr="004C4019" w:rsidRDefault="004C4019" w:rsidP="004C4019">
            <w:pPr>
              <w:spacing w:after="0" w:line="240" w:lineRule="auto"/>
              <w:rPr>
                <w:rFonts w:ascii="Times New Roman" w:hAnsi="Times New Roman"/>
                <w:color w:val="000000"/>
                <w:sz w:val="24"/>
                <w:szCs w:val="24"/>
                <w:lang w:eastAsia="es-DO"/>
              </w:rPr>
            </w:pPr>
            <w:r w:rsidRPr="004C4019">
              <w:rPr>
                <w:rFonts w:ascii="Times New Roman" w:hAnsi="Times New Roman"/>
                <w:color w:val="000000"/>
                <w:sz w:val="24"/>
                <w:szCs w:val="24"/>
                <w:lang w:eastAsia="es-DO"/>
              </w:rPr>
              <w:t>Cumplimiento de todas las actividades contempladas en el Plan de Trabajo de la CIGCN.</w:t>
            </w:r>
          </w:p>
        </w:tc>
        <w:tc>
          <w:tcPr>
            <w:tcW w:w="2614" w:type="dxa"/>
            <w:tcBorders>
              <w:top w:val="nil"/>
              <w:left w:val="nil"/>
              <w:bottom w:val="single" w:sz="8" w:space="0" w:color="auto"/>
              <w:right w:val="single" w:sz="8" w:space="0" w:color="auto"/>
            </w:tcBorders>
            <w:noWrap/>
            <w:vAlign w:val="center"/>
            <w:hideMark/>
          </w:tcPr>
          <w:p w14:paraId="7A5B7B10" w14:textId="77777777" w:rsidR="004C4019" w:rsidRPr="004C4019" w:rsidRDefault="004C4019" w:rsidP="004C4019">
            <w:pPr>
              <w:spacing w:after="0" w:line="240" w:lineRule="auto"/>
              <w:jc w:val="center"/>
              <w:rPr>
                <w:rFonts w:ascii="Times New Roman" w:hAnsi="Times New Roman"/>
                <w:color w:val="000000"/>
                <w:sz w:val="24"/>
                <w:szCs w:val="24"/>
                <w:lang w:eastAsia="es-DO"/>
              </w:rPr>
            </w:pPr>
            <w:r w:rsidRPr="004C4019">
              <w:rPr>
                <w:rFonts w:ascii="Times New Roman" w:hAnsi="Times New Roman"/>
                <w:color w:val="000000"/>
                <w:sz w:val="24"/>
                <w:szCs w:val="24"/>
                <w:lang w:eastAsia="es-DO"/>
              </w:rPr>
              <w:t>100%</w:t>
            </w:r>
          </w:p>
        </w:tc>
      </w:tr>
      <w:tr w:rsidR="004C4019" w:rsidRPr="004C4019" w14:paraId="09B50773" w14:textId="77777777" w:rsidTr="00BA6F83">
        <w:trPr>
          <w:trHeight w:val="327"/>
        </w:trPr>
        <w:tc>
          <w:tcPr>
            <w:tcW w:w="5946" w:type="dxa"/>
            <w:tcBorders>
              <w:top w:val="nil"/>
              <w:left w:val="single" w:sz="8" w:space="0" w:color="auto"/>
              <w:bottom w:val="single" w:sz="8" w:space="0" w:color="auto"/>
              <w:right w:val="single" w:sz="8" w:space="0" w:color="auto"/>
            </w:tcBorders>
            <w:shd w:val="clear" w:color="000000" w:fill="002060"/>
            <w:noWrap/>
            <w:vAlign w:val="center"/>
            <w:hideMark/>
          </w:tcPr>
          <w:p w14:paraId="195DACED" w14:textId="77777777" w:rsidR="004C4019" w:rsidRPr="004C4019" w:rsidRDefault="004C4019" w:rsidP="004C4019">
            <w:pPr>
              <w:spacing w:after="0" w:line="240" w:lineRule="auto"/>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Porcentaje total de cumplimiento</w:t>
            </w:r>
          </w:p>
        </w:tc>
        <w:tc>
          <w:tcPr>
            <w:tcW w:w="2614" w:type="dxa"/>
            <w:tcBorders>
              <w:top w:val="nil"/>
              <w:left w:val="nil"/>
              <w:bottom w:val="single" w:sz="8" w:space="0" w:color="auto"/>
              <w:right w:val="single" w:sz="8" w:space="0" w:color="auto"/>
            </w:tcBorders>
            <w:shd w:val="clear" w:color="000000" w:fill="002060"/>
            <w:noWrap/>
            <w:vAlign w:val="center"/>
            <w:hideMark/>
          </w:tcPr>
          <w:p w14:paraId="39BFAF4E" w14:textId="77777777" w:rsidR="004C4019" w:rsidRPr="004C4019" w:rsidRDefault="004C4019" w:rsidP="004C4019">
            <w:pPr>
              <w:spacing w:after="0" w:line="240" w:lineRule="auto"/>
              <w:jc w:val="center"/>
              <w:rPr>
                <w:rFonts w:ascii="Times New Roman" w:hAnsi="Times New Roman"/>
                <w:b/>
                <w:bCs/>
                <w:color w:val="FFFFFF"/>
                <w:sz w:val="24"/>
                <w:szCs w:val="24"/>
                <w:lang w:eastAsia="es-DO"/>
              </w:rPr>
            </w:pPr>
            <w:r w:rsidRPr="004C4019">
              <w:rPr>
                <w:rFonts w:ascii="Times New Roman" w:hAnsi="Times New Roman"/>
                <w:b/>
                <w:bCs/>
                <w:color w:val="FFFFFF"/>
                <w:sz w:val="24"/>
                <w:szCs w:val="24"/>
                <w:lang w:eastAsia="es-DO"/>
              </w:rPr>
              <w:t>100%</w:t>
            </w:r>
          </w:p>
        </w:tc>
      </w:tr>
      <w:tr w:rsidR="004C4019" w:rsidRPr="004C4019" w14:paraId="6561B9E9" w14:textId="77777777" w:rsidTr="00BA6F83">
        <w:trPr>
          <w:trHeight w:val="633"/>
        </w:trPr>
        <w:tc>
          <w:tcPr>
            <w:tcW w:w="8560" w:type="dxa"/>
            <w:gridSpan w:val="2"/>
            <w:tcBorders>
              <w:top w:val="single" w:sz="8" w:space="0" w:color="auto"/>
              <w:left w:val="nil"/>
              <w:bottom w:val="nil"/>
              <w:right w:val="nil"/>
            </w:tcBorders>
            <w:vAlign w:val="center"/>
            <w:hideMark/>
          </w:tcPr>
          <w:p w14:paraId="00EB7E87" w14:textId="77777777" w:rsidR="004C4019" w:rsidRPr="004C4019" w:rsidRDefault="004C4019" w:rsidP="004C4019">
            <w:pPr>
              <w:spacing w:after="0" w:line="240" w:lineRule="auto"/>
              <w:jc w:val="center"/>
              <w:rPr>
                <w:rFonts w:ascii="Times New Roman" w:hAnsi="Times New Roman"/>
                <w:b/>
                <w:bCs/>
                <w:i/>
                <w:iCs/>
                <w:color w:val="000000"/>
                <w:sz w:val="18"/>
                <w:szCs w:val="18"/>
                <w:lang w:eastAsia="es-DO"/>
              </w:rPr>
            </w:pPr>
            <w:r w:rsidRPr="004C4019">
              <w:rPr>
                <w:rFonts w:ascii="Times New Roman" w:hAnsi="Times New Roman"/>
                <w:b/>
                <w:bCs/>
                <w:i/>
                <w:iCs/>
                <w:color w:val="000000"/>
                <w:sz w:val="18"/>
                <w:szCs w:val="18"/>
                <w:lang w:eastAsia="es-DO"/>
              </w:rPr>
              <w:t>Fuente</w:t>
            </w:r>
            <w:r w:rsidRPr="004C4019">
              <w:rPr>
                <w:rFonts w:ascii="Times New Roman" w:hAnsi="Times New Roman"/>
                <w:i/>
                <w:iCs/>
                <w:color w:val="000000"/>
                <w:sz w:val="18"/>
                <w:szCs w:val="18"/>
                <w:lang w:eastAsia="es-DO"/>
              </w:rPr>
              <w:t>: elaboración propia con datos obtenidos de las ejecuciones del POA 2026 de la Oficina de Libre Acceso a la Información.</w:t>
            </w:r>
          </w:p>
        </w:tc>
      </w:tr>
    </w:tbl>
    <w:p w14:paraId="7E6D91EF" w14:textId="77777777" w:rsidR="004C4019" w:rsidRPr="004C4019" w:rsidRDefault="004C4019" w:rsidP="004C4019">
      <w:pPr>
        <w:jc w:val="both"/>
        <w:rPr>
          <w:rFonts w:ascii="Times New Roman" w:hAnsi="Times New Roman"/>
          <w:sz w:val="24"/>
          <w:szCs w:val="24"/>
        </w:rPr>
      </w:pPr>
    </w:p>
    <w:p w14:paraId="27D734ED" w14:textId="42311F78" w:rsidR="004C4019" w:rsidRDefault="004C4019" w:rsidP="004C4019">
      <w:pPr>
        <w:pStyle w:val="Ttulo1"/>
        <w:numPr>
          <w:ilvl w:val="0"/>
          <w:numId w:val="1"/>
        </w:numPr>
        <w:spacing w:line="360" w:lineRule="auto"/>
        <w:ind w:left="0"/>
        <w:rPr>
          <w:rFonts w:ascii="Times New Roman" w:hAnsi="Times New Roman" w:cs="Times New Roman"/>
          <w:b/>
          <w:bCs/>
          <w:sz w:val="24"/>
          <w:szCs w:val="24"/>
        </w:rPr>
      </w:pPr>
      <w:bookmarkStart w:id="32" w:name="_Toc226973083"/>
      <w:r w:rsidRPr="004C4019">
        <w:rPr>
          <w:rFonts w:ascii="Times New Roman" w:hAnsi="Times New Roman" w:cs="Times New Roman"/>
          <w:b/>
          <w:bCs/>
          <w:sz w:val="24"/>
          <w:szCs w:val="24"/>
        </w:rPr>
        <w:t>Departamento de Comunicaciones</w:t>
      </w:r>
      <w:bookmarkEnd w:id="32"/>
    </w:p>
    <w:p w14:paraId="0F463908" w14:textId="6DEED9AA" w:rsidR="00E87ED5" w:rsidRDefault="00E87ED5" w:rsidP="00E87ED5">
      <w:pPr>
        <w:jc w:val="both"/>
        <w:rPr>
          <w:rFonts w:ascii="Times New Roman" w:hAnsi="Times New Roman"/>
          <w:sz w:val="24"/>
          <w:szCs w:val="24"/>
        </w:rPr>
      </w:pPr>
      <w:r w:rsidRPr="00E87ED5">
        <w:rPr>
          <w:rFonts w:ascii="Times New Roman" w:hAnsi="Times New Roman"/>
          <w:sz w:val="24"/>
          <w:szCs w:val="24"/>
        </w:rPr>
        <w:t xml:space="preserve">El Departamento de Comunicaciones, en coordinación con la División de Protocolo, registró un nivel de cumplimiento del 100 % en las actividades programadas para el período evaluado, evidenciando una gestión articulada en la planificación, ejecución y seguimiento de la comunicación institucional. Este desempeño se sustentó en la gestión de la comunicación y la difusión de contenidos, el desarrollo de contenidos digitales y la administración de plataformas institucionales, así como en la elaboración de materiales y campañas comunicacionales, incluyendo campañas publicitarias. De igual forma, se fortalecieron los procesos de monitoreo y evaluación de la comunicación institucional, junto con la organización y asistencia protocolar en los diferentes eventos y reuniones de la institución, así como la atención a los invitados del </w:t>
      </w:r>
      <w:proofErr w:type="gramStart"/>
      <w:r w:rsidRPr="00E87ED5">
        <w:rPr>
          <w:rFonts w:ascii="Times New Roman" w:hAnsi="Times New Roman"/>
          <w:sz w:val="24"/>
          <w:szCs w:val="24"/>
        </w:rPr>
        <w:t>Director Ejecutivo</w:t>
      </w:r>
      <w:proofErr w:type="gramEnd"/>
      <w:r w:rsidRPr="00E87ED5">
        <w:rPr>
          <w:rFonts w:ascii="Times New Roman" w:hAnsi="Times New Roman"/>
          <w:sz w:val="24"/>
          <w:szCs w:val="24"/>
        </w:rPr>
        <w:t>, contribuyendo a una adecuada proyección de la imagen institucional y al fortalecimiento de la visibilidad del INESPRE ante la ciudadanía.</w:t>
      </w:r>
    </w:p>
    <w:tbl>
      <w:tblPr>
        <w:tblW w:w="8550" w:type="dxa"/>
        <w:tblCellMar>
          <w:left w:w="70" w:type="dxa"/>
          <w:right w:w="70" w:type="dxa"/>
        </w:tblCellMar>
        <w:tblLook w:val="04A0" w:firstRow="1" w:lastRow="0" w:firstColumn="1" w:lastColumn="0" w:noHBand="0" w:noVBand="1"/>
      </w:tblPr>
      <w:tblGrid>
        <w:gridCol w:w="5939"/>
        <w:gridCol w:w="2611"/>
      </w:tblGrid>
      <w:tr w:rsidR="00E87ED5" w:rsidRPr="00E87ED5" w14:paraId="4836DC5F" w14:textId="77777777" w:rsidTr="00BA6F83">
        <w:trPr>
          <w:trHeight w:val="629"/>
        </w:trPr>
        <w:tc>
          <w:tcPr>
            <w:tcW w:w="8550" w:type="dxa"/>
            <w:gridSpan w:val="2"/>
            <w:tcBorders>
              <w:top w:val="nil"/>
              <w:left w:val="nil"/>
              <w:bottom w:val="single" w:sz="8" w:space="0" w:color="auto"/>
              <w:right w:val="nil"/>
            </w:tcBorders>
            <w:vAlign w:val="center"/>
            <w:hideMark/>
          </w:tcPr>
          <w:p w14:paraId="52E577EF" w14:textId="4B459F7A" w:rsidR="00E87ED5" w:rsidRPr="00E87ED5" w:rsidRDefault="00E87ED5" w:rsidP="00E87ED5">
            <w:pPr>
              <w:spacing w:after="0" w:line="240" w:lineRule="auto"/>
              <w:jc w:val="center"/>
              <w:rPr>
                <w:rFonts w:ascii="Times New Roman" w:hAnsi="Times New Roman"/>
                <w:b/>
                <w:bCs/>
                <w:color w:val="000000"/>
                <w:lang w:eastAsia="es-DO"/>
              </w:rPr>
            </w:pPr>
            <w:r w:rsidRPr="00E87ED5">
              <w:rPr>
                <w:rFonts w:ascii="Times New Roman" w:hAnsi="Times New Roman"/>
                <w:b/>
                <w:bCs/>
                <w:color w:val="000000"/>
                <w:lang w:eastAsia="es-DO"/>
              </w:rPr>
              <w:lastRenderedPageBreak/>
              <w:t xml:space="preserve">Tabla </w:t>
            </w:r>
            <w:r>
              <w:rPr>
                <w:rFonts w:ascii="Times New Roman" w:hAnsi="Times New Roman"/>
                <w:b/>
                <w:bCs/>
                <w:color w:val="000000"/>
                <w:lang w:eastAsia="es-DO"/>
              </w:rPr>
              <w:t>7</w:t>
            </w:r>
            <w:r w:rsidRPr="00E87ED5">
              <w:rPr>
                <w:rFonts w:ascii="Times New Roman" w:hAnsi="Times New Roman"/>
                <w:b/>
                <w:bCs/>
                <w:lang w:eastAsia="es-DO"/>
              </w:rPr>
              <w:t>.</w:t>
            </w:r>
            <w:r w:rsidRPr="00E87ED5">
              <w:rPr>
                <w:rFonts w:ascii="Times New Roman" w:hAnsi="Times New Roman"/>
                <w:color w:val="000000"/>
                <w:lang w:eastAsia="es-DO"/>
              </w:rPr>
              <w:t xml:space="preserve"> Resultados del Departamento de Comunicaciones, según objetivo, 2026.</w:t>
            </w:r>
          </w:p>
        </w:tc>
      </w:tr>
      <w:tr w:rsidR="00E87ED5" w:rsidRPr="00E87ED5" w14:paraId="523816E8" w14:textId="77777777" w:rsidTr="00BA6F83">
        <w:trPr>
          <w:trHeight w:val="325"/>
        </w:trPr>
        <w:tc>
          <w:tcPr>
            <w:tcW w:w="855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7BB10C76" w14:textId="77777777" w:rsidR="00E87ED5" w:rsidRPr="00E87ED5" w:rsidRDefault="00E87ED5" w:rsidP="00E87ED5">
            <w:pPr>
              <w:spacing w:after="0" w:line="240" w:lineRule="auto"/>
              <w:jc w:val="center"/>
              <w:rPr>
                <w:rFonts w:ascii="Times New Roman" w:hAnsi="Times New Roman"/>
                <w:b/>
                <w:bCs/>
                <w:color w:val="FFFFFF"/>
                <w:sz w:val="24"/>
                <w:szCs w:val="24"/>
                <w:lang w:eastAsia="es-DO"/>
              </w:rPr>
            </w:pPr>
            <w:r w:rsidRPr="00E87ED5">
              <w:rPr>
                <w:rFonts w:ascii="Times New Roman" w:hAnsi="Times New Roman"/>
                <w:b/>
                <w:bCs/>
                <w:color w:val="FFFFFF"/>
                <w:sz w:val="24"/>
                <w:szCs w:val="24"/>
                <w:lang w:eastAsia="es-DO"/>
              </w:rPr>
              <w:t>Departamento de Comunicaciones</w:t>
            </w:r>
          </w:p>
        </w:tc>
      </w:tr>
      <w:tr w:rsidR="00E87ED5" w:rsidRPr="00E87ED5" w14:paraId="29216CE2" w14:textId="77777777" w:rsidTr="00BA6F83">
        <w:trPr>
          <w:trHeight w:val="325"/>
        </w:trPr>
        <w:tc>
          <w:tcPr>
            <w:tcW w:w="5939" w:type="dxa"/>
            <w:tcBorders>
              <w:top w:val="nil"/>
              <w:left w:val="single" w:sz="8" w:space="0" w:color="auto"/>
              <w:bottom w:val="single" w:sz="8" w:space="0" w:color="auto"/>
              <w:right w:val="single" w:sz="8" w:space="0" w:color="auto"/>
            </w:tcBorders>
            <w:shd w:val="clear" w:color="000000" w:fill="002060"/>
            <w:noWrap/>
            <w:vAlign w:val="center"/>
            <w:hideMark/>
          </w:tcPr>
          <w:p w14:paraId="4CD3AEDA" w14:textId="02D8D825" w:rsidR="00E87ED5" w:rsidRPr="00E87ED5" w:rsidRDefault="005545E1" w:rsidP="00E87ED5">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611" w:type="dxa"/>
            <w:tcBorders>
              <w:top w:val="nil"/>
              <w:left w:val="nil"/>
              <w:bottom w:val="single" w:sz="8" w:space="0" w:color="auto"/>
              <w:right w:val="single" w:sz="8" w:space="0" w:color="auto"/>
            </w:tcBorders>
            <w:shd w:val="clear" w:color="000000" w:fill="002060"/>
            <w:noWrap/>
            <w:vAlign w:val="center"/>
            <w:hideMark/>
          </w:tcPr>
          <w:p w14:paraId="6FE7C299" w14:textId="77777777" w:rsidR="00E87ED5" w:rsidRPr="00E87ED5" w:rsidRDefault="00E87ED5" w:rsidP="00E87ED5">
            <w:pPr>
              <w:spacing w:after="0" w:line="240" w:lineRule="auto"/>
              <w:jc w:val="center"/>
              <w:rPr>
                <w:rFonts w:ascii="Times New Roman" w:hAnsi="Times New Roman"/>
                <w:b/>
                <w:bCs/>
                <w:color w:val="FFFFFF"/>
                <w:sz w:val="24"/>
                <w:szCs w:val="24"/>
                <w:lang w:eastAsia="es-DO"/>
              </w:rPr>
            </w:pPr>
            <w:r w:rsidRPr="00E87ED5">
              <w:rPr>
                <w:rFonts w:ascii="Times New Roman" w:hAnsi="Times New Roman"/>
                <w:b/>
                <w:bCs/>
                <w:color w:val="FFFFFF"/>
                <w:sz w:val="24"/>
                <w:szCs w:val="24"/>
                <w:lang w:eastAsia="es-DO"/>
              </w:rPr>
              <w:t>% Cumplimiento</w:t>
            </w:r>
          </w:p>
        </w:tc>
      </w:tr>
      <w:tr w:rsidR="00E87ED5" w:rsidRPr="00E87ED5" w14:paraId="02200236" w14:textId="77777777" w:rsidTr="00BA6F83">
        <w:trPr>
          <w:trHeight w:val="661"/>
        </w:trPr>
        <w:tc>
          <w:tcPr>
            <w:tcW w:w="5939" w:type="dxa"/>
            <w:tcBorders>
              <w:top w:val="nil"/>
              <w:left w:val="single" w:sz="8" w:space="0" w:color="auto"/>
              <w:bottom w:val="single" w:sz="8" w:space="0" w:color="auto"/>
              <w:right w:val="single" w:sz="8" w:space="0" w:color="auto"/>
            </w:tcBorders>
            <w:vAlign w:val="center"/>
            <w:hideMark/>
          </w:tcPr>
          <w:p w14:paraId="025AD2FA"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Gestión de la comunicación institucional y difusión de contenidos</w:t>
            </w:r>
          </w:p>
        </w:tc>
        <w:tc>
          <w:tcPr>
            <w:tcW w:w="2611" w:type="dxa"/>
            <w:tcBorders>
              <w:top w:val="nil"/>
              <w:left w:val="nil"/>
              <w:bottom w:val="single" w:sz="8" w:space="0" w:color="auto"/>
              <w:right w:val="single" w:sz="8" w:space="0" w:color="auto"/>
            </w:tcBorders>
            <w:noWrap/>
            <w:vAlign w:val="center"/>
            <w:hideMark/>
          </w:tcPr>
          <w:p w14:paraId="715C6F20"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2430DBB9" w14:textId="77777777" w:rsidTr="00BA6F83">
        <w:trPr>
          <w:trHeight w:val="335"/>
        </w:trPr>
        <w:tc>
          <w:tcPr>
            <w:tcW w:w="5939" w:type="dxa"/>
            <w:tcBorders>
              <w:top w:val="nil"/>
              <w:left w:val="single" w:sz="8" w:space="0" w:color="auto"/>
              <w:bottom w:val="single" w:sz="8" w:space="0" w:color="auto"/>
              <w:right w:val="single" w:sz="8" w:space="0" w:color="auto"/>
            </w:tcBorders>
            <w:vAlign w:val="center"/>
            <w:hideMark/>
          </w:tcPr>
          <w:p w14:paraId="21018518"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Contenidos digitales y plataformas institucionales</w:t>
            </w:r>
          </w:p>
        </w:tc>
        <w:tc>
          <w:tcPr>
            <w:tcW w:w="2611" w:type="dxa"/>
            <w:tcBorders>
              <w:top w:val="nil"/>
              <w:left w:val="nil"/>
              <w:bottom w:val="single" w:sz="8" w:space="0" w:color="auto"/>
              <w:right w:val="single" w:sz="8" w:space="0" w:color="auto"/>
            </w:tcBorders>
            <w:noWrap/>
            <w:vAlign w:val="center"/>
            <w:hideMark/>
          </w:tcPr>
          <w:p w14:paraId="525BBB64"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0C55FA7A" w14:textId="77777777" w:rsidTr="00BA6F83">
        <w:trPr>
          <w:trHeight w:val="335"/>
        </w:trPr>
        <w:tc>
          <w:tcPr>
            <w:tcW w:w="5939" w:type="dxa"/>
            <w:tcBorders>
              <w:top w:val="nil"/>
              <w:left w:val="single" w:sz="8" w:space="0" w:color="auto"/>
              <w:bottom w:val="single" w:sz="8" w:space="0" w:color="auto"/>
              <w:right w:val="single" w:sz="8" w:space="0" w:color="auto"/>
            </w:tcBorders>
            <w:vAlign w:val="center"/>
            <w:hideMark/>
          </w:tcPr>
          <w:p w14:paraId="016A0D5F"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Materiales institucionales y campañas comunicacionales</w:t>
            </w:r>
          </w:p>
        </w:tc>
        <w:tc>
          <w:tcPr>
            <w:tcW w:w="2611" w:type="dxa"/>
            <w:tcBorders>
              <w:top w:val="nil"/>
              <w:left w:val="nil"/>
              <w:bottom w:val="single" w:sz="8" w:space="0" w:color="auto"/>
              <w:right w:val="single" w:sz="8" w:space="0" w:color="auto"/>
            </w:tcBorders>
            <w:noWrap/>
            <w:vAlign w:val="center"/>
            <w:hideMark/>
          </w:tcPr>
          <w:p w14:paraId="5C8F9BB9"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279B7136" w14:textId="77777777" w:rsidTr="00BA6F83">
        <w:trPr>
          <w:trHeight w:val="577"/>
        </w:trPr>
        <w:tc>
          <w:tcPr>
            <w:tcW w:w="5939" w:type="dxa"/>
            <w:tcBorders>
              <w:top w:val="nil"/>
              <w:left w:val="single" w:sz="8" w:space="0" w:color="auto"/>
              <w:bottom w:val="single" w:sz="8" w:space="0" w:color="auto"/>
              <w:right w:val="single" w:sz="8" w:space="0" w:color="auto"/>
            </w:tcBorders>
            <w:vAlign w:val="center"/>
            <w:hideMark/>
          </w:tcPr>
          <w:p w14:paraId="5976D955" w14:textId="71583A6A"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Monitoreo y evaluación de la comunicación institución</w:t>
            </w:r>
          </w:p>
        </w:tc>
        <w:tc>
          <w:tcPr>
            <w:tcW w:w="2611" w:type="dxa"/>
            <w:tcBorders>
              <w:top w:val="nil"/>
              <w:left w:val="nil"/>
              <w:bottom w:val="single" w:sz="8" w:space="0" w:color="auto"/>
              <w:right w:val="single" w:sz="8" w:space="0" w:color="auto"/>
            </w:tcBorders>
            <w:noWrap/>
            <w:vAlign w:val="center"/>
            <w:hideMark/>
          </w:tcPr>
          <w:p w14:paraId="3F7C88DE"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29A68A75" w14:textId="77777777" w:rsidTr="00BA6F83">
        <w:trPr>
          <w:trHeight w:val="566"/>
        </w:trPr>
        <w:tc>
          <w:tcPr>
            <w:tcW w:w="5939" w:type="dxa"/>
            <w:tcBorders>
              <w:top w:val="nil"/>
              <w:left w:val="single" w:sz="8" w:space="0" w:color="auto"/>
              <w:bottom w:val="single" w:sz="8" w:space="0" w:color="auto"/>
              <w:right w:val="single" w:sz="8" w:space="0" w:color="auto"/>
            </w:tcBorders>
            <w:vAlign w:val="center"/>
            <w:hideMark/>
          </w:tcPr>
          <w:p w14:paraId="1152DFD0"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Elaboración de Campañas Publicitarias</w:t>
            </w:r>
          </w:p>
        </w:tc>
        <w:tc>
          <w:tcPr>
            <w:tcW w:w="2611" w:type="dxa"/>
            <w:tcBorders>
              <w:top w:val="nil"/>
              <w:left w:val="nil"/>
              <w:bottom w:val="single" w:sz="8" w:space="0" w:color="auto"/>
              <w:right w:val="single" w:sz="8" w:space="0" w:color="auto"/>
            </w:tcBorders>
            <w:noWrap/>
            <w:vAlign w:val="center"/>
            <w:hideMark/>
          </w:tcPr>
          <w:p w14:paraId="3360F512"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57348EBC" w14:textId="77777777" w:rsidTr="00BA6F83">
        <w:trPr>
          <w:trHeight w:val="643"/>
        </w:trPr>
        <w:tc>
          <w:tcPr>
            <w:tcW w:w="5939" w:type="dxa"/>
            <w:tcBorders>
              <w:top w:val="nil"/>
              <w:left w:val="single" w:sz="8" w:space="0" w:color="auto"/>
              <w:bottom w:val="single" w:sz="8" w:space="0" w:color="auto"/>
              <w:right w:val="single" w:sz="8" w:space="0" w:color="auto"/>
            </w:tcBorders>
            <w:vAlign w:val="center"/>
            <w:hideMark/>
          </w:tcPr>
          <w:p w14:paraId="751A78F3"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Asistencia protocolar y organización de los diferentes eventos y reuniones de la institución</w:t>
            </w:r>
          </w:p>
        </w:tc>
        <w:tc>
          <w:tcPr>
            <w:tcW w:w="2611" w:type="dxa"/>
            <w:tcBorders>
              <w:top w:val="nil"/>
              <w:left w:val="nil"/>
              <w:bottom w:val="single" w:sz="8" w:space="0" w:color="auto"/>
              <w:right w:val="single" w:sz="8" w:space="0" w:color="auto"/>
            </w:tcBorders>
            <w:noWrap/>
            <w:vAlign w:val="center"/>
            <w:hideMark/>
          </w:tcPr>
          <w:p w14:paraId="139F094D"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15CA011A" w14:textId="77777777" w:rsidTr="00BA6F83">
        <w:trPr>
          <w:trHeight w:val="335"/>
        </w:trPr>
        <w:tc>
          <w:tcPr>
            <w:tcW w:w="5939" w:type="dxa"/>
            <w:tcBorders>
              <w:top w:val="nil"/>
              <w:left w:val="single" w:sz="8" w:space="0" w:color="auto"/>
              <w:bottom w:val="single" w:sz="8" w:space="0" w:color="auto"/>
              <w:right w:val="single" w:sz="8" w:space="0" w:color="auto"/>
            </w:tcBorders>
            <w:vAlign w:val="center"/>
            <w:hideMark/>
          </w:tcPr>
          <w:p w14:paraId="1654B23E" w14:textId="77777777" w:rsidR="00E87ED5" w:rsidRPr="00E87ED5" w:rsidRDefault="00E87ED5" w:rsidP="00E87ED5">
            <w:pPr>
              <w:spacing w:after="0" w:line="240" w:lineRule="auto"/>
              <w:rPr>
                <w:rFonts w:ascii="Times New Roman" w:hAnsi="Times New Roman"/>
                <w:color w:val="000000"/>
                <w:sz w:val="24"/>
                <w:szCs w:val="24"/>
                <w:lang w:eastAsia="es-DO"/>
              </w:rPr>
            </w:pPr>
            <w:r w:rsidRPr="00E87ED5">
              <w:rPr>
                <w:rFonts w:ascii="Times New Roman" w:hAnsi="Times New Roman"/>
                <w:color w:val="000000"/>
                <w:sz w:val="24"/>
                <w:szCs w:val="24"/>
                <w:lang w:eastAsia="es-DO"/>
              </w:rPr>
              <w:t xml:space="preserve">Asistencia protocolar a los invitados del </w:t>
            </w:r>
            <w:proofErr w:type="gramStart"/>
            <w:r w:rsidRPr="00E87ED5">
              <w:rPr>
                <w:rFonts w:ascii="Times New Roman" w:hAnsi="Times New Roman"/>
                <w:color w:val="000000"/>
                <w:sz w:val="24"/>
                <w:szCs w:val="24"/>
                <w:lang w:eastAsia="es-DO"/>
              </w:rPr>
              <w:t>Director Ejecutivo</w:t>
            </w:r>
            <w:proofErr w:type="gramEnd"/>
            <w:r w:rsidRPr="00E87ED5">
              <w:rPr>
                <w:rFonts w:ascii="Times New Roman" w:hAnsi="Times New Roman"/>
                <w:color w:val="000000"/>
                <w:sz w:val="24"/>
                <w:szCs w:val="24"/>
                <w:lang w:eastAsia="es-DO"/>
              </w:rPr>
              <w:t xml:space="preserve"> </w:t>
            </w:r>
          </w:p>
        </w:tc>
        <w:tc>
          <w:tcPr>
            <w:tcW w:w="2611" w:type="dxa"/>
            <w:tcBorders>
              <w:top w:val="nil"/>
              <w:left w:val="nil"/>
              <w:bottom w:val="single" w:sz="8" w:space="0" w:color="auto"/>
              <w:right w:val="single" w:sz="8" w:space="0" w:color="auto"/>
            </w:tcBorders>
            <w:noWrap/>
            <w:vAlign w:val="center"/>
            <w:hideMark/>
          </w:tcPr>
          <w:p w14:paraId="4A46B63C" w14:textId="77777777" w:rsidR="00E87ED5" w:rsidRPr="00E87ED5" w:rsidRDefault="00E87ED5" w:rsidP="00E87ED5">
            <w:pPr>
              <w:spacing w:after="0" w:line="240" w:lineRule="auto"/>
              <w:jc w:val="center"/>
              <w:rPr>
                <w:rFonts w:ascii="Times New Roman" w:hAnsi="Times New Roman"/>
                <w:color w:val="000000"/>
                <w:sz w:val="24"/>
                <w:szCs w:val="24"/>
                <w:lang w:eastAsia="es-DO"/>
              </w:rPr>
            </w:pPr>
            <w:r w:rsidRPr="00E87ED5">
              <w:rPr>
                <w:rFonts w:ascii="Times New Roman" w:hAnsi="Times New Roman"/>
                <w:color w:val="000000"/>
                <w:sz w:val="24"/>
                <w:szCs w:val="24"/>
                <w:lang w:eastAsia="es-DO"/>
              </w:rPr>
              <w:t>100%</w:t>
            </w:r>
          </w:p>
        </w:tc>
      </w:tr>
      <w:tr w:rsidR="00E87ED5" w:rsidRPr="00E87ED5" w14:paraId="1CFB4ED0" w14:textId="77777777" w:rsidTr="00BA6F83">
        <w:trPr>
          <w:trHeight w:val="325"/>
        </w:trPr>
        <w:tc>
          <w:tcPr>
            <w:tcW w:w="5939" w:type="dxa"/>
            <w:tcBorders>
              <w:top w:val="nil"/>
              <w:left w:val="single" w:sz="8" w:space="0" w:color="auto"/>
              <w:bottom w:val="single" w:sz="8" w:space="0" w:color="auto"/>
              <w:right w:val="single" w:sz="8" w:space="0" w:color="auto"/>
            </w:tcBorders>
            <w:shd w:val="clear" w:color="000000" w:fill="002060"/>
            <w:noWrap/>
            <w:vAlign w:val="center"/>
            <w:hideMark/>
          </w:tcPr>
          <w:p w14:paraId="01990C1B" w14:textId="77777777" w:rsidR="00E87ED5" w:rsidRPr="00E87ED5" w:rsidRDefault="00E87ED5" w:rsidP="00E87ED5">
            <w:pPr>
              <w:spacing w:after="0" w:line="240" w:lineRule="auto"/>
              <w:rPr>
                <w:rFonts w:ascii="Times New Roman" w:hAnsi="Times New Roman"/>
                <w:b/>
                <w:bCs/>
                <w:color w:val="FFFFFF"/>
                <w:sz w:val="24"/>
                <w:szCs w:val="24"/>
                <w:lang w:eastAsia="es-DO"/>
              </w:rPr>
            </w:pPr>
            <w:r w:rsidRPr="00E87ED5">
              <w:rPr>
                <w:rFonts w:ascii="Times New Roman" w:hAnsi="Times New Roman"/>
                <w:b/>
                <w:bCs/>
                <w:color w:val="FFFFFF"/>
                <w:sz w:val="24"/>
                <w:szCs w:val="24"/>
                <w:lang w:eastAsia="es-DO"/>
              </w:rPr>
              <w:t>Porcentaje total de cumplimiento</w:t>
            </w:r>
          </w:p>
        </w:tc>
        <w:tc>
          <w:tcPr>
            <w:tcW w:w="2611" w:type="dxa"/>
            <w:tcBorders>
              <w:top w:val="nil"/>
              <w:left w:val="nil"/>
              <w:bottom w:val="single" w:sz="8" w:space="0" w:color="auto"/>
              <w:right w:val="single" w:sz="8" w:space="0" w:color="auto"/>
            </w:tcBorders>
            <w:shd w:val="clear" w:color="000000" w:fill="002060"/>
            <w:noWrap/>
            <w:vAlign w:val="center"/>
            <w:hideMark/>
          </w:tcPr>
          <w:p w14:paraId="67720A20" w14:textId="77777777" w:rsidR="00E87ED5" w:rsidRPr="00E87ED5" w:rsidRDefault="00E87ED5" w:rsidP="00E87ED5">
            <w:pPr>
              <w:spacing w:after="0" w:line="240" w:lineRule="auto"/>
              <w:jc w:val="center"/>
              <w:rPr>
                <w:rFonts w:ascii="Times New Roman" w:hAnsi="Times New Roman"/>
                <w:b/>
                <w:bCs/>
                <w:color w:val="FFFFFF"/>
                <w:sz w:val="24"/>
                <w:szCs w:val="24"/>
                <w:lang w:eastAsia="es-DO"/>
              </w:rPr>
            </w:pPr>
            <w:r w:rsidRPr="00E87ED5">
              <w:rPr>
                <w:rFonts w:ascii="Times New Roman" w:hAnsi="Times New Roman"/>
                <w:b/>
                <w:bCs/>
                <w:color w:val="FFFFFF"/>
                <w:sz w:val="24"/>
                <w:szCs w:val="24"/>
                <w:lang w:eastAsia="es-DO"/>
              </w:rPr>
              <w:t>100%</w:t>
            </w:r>
          </w:p>
        </w:tc>
      </w:tr>
      <w:tr w:rsidR="00E87ED5" w:rsidRPr="00E87ED5" w14:paraId="7857D9CD" w14:textId="77777777" w:rsidTr="00BA6F83">
        <w:trPr>
          <w:trHeight w:val="629"/>
        </w:trPr>
        <w:tc>
          <w:tcPr>
            <w:tcW w:w="8550" w:type="dxa"/>
            <w:gridSpan w:val="2"/>
            <w:tcBorders>
              <w:top w:val="single" w:sz="8" w:space="0" w:color="auto"/>
              <w:left w:val="nil"/>
              <w:bottom w:val="nil"/>
              <w:right w:val="nil"/>
            </w:tcBorders>
            <w:vAlign w:val="center"/>
            <w:hideMark/>
          </w:tcPr>
          <w:p w14:paraId="700B30B1" w14:textId="77777777" w:rsidR="00E87ED5" w:rsidRPr="00E87ED5" w:rsidRDefault="00E87ED5" w:rsidP="00E87ED5">
            <w:pPr>
              <w:spacing w:after="0" w:line="240" w:lineRule="auto"/>
              <w:jc w:val="center"/>
              <w:rPr>
                <w:rFonts w:ascii="Times New Roman" w:hAnsi="Times New Roman"/>
                <w:b/>
                <w:bCs/>
                <w:i/>
                <w:iCs/>
                <w:color w:val="000000"/>
                <w:sz w:val="18"/>
                <w:szCs w:val="18"/>
                <w:lang w:eastAsia="es-DO"/>
              </w:rPr>
            </w:pPr>
            <w:r w:rsidRPr="00E87ED5">
              <w:rPr>
                <w:rFonts w:ascii="Times New Roman" w:hAnsi="Times New Roman"/>
                <w:b/>
                <w:bCs/>
                <w:i/>
                <w:iCs/>
                <w:color w:val="000000"/>
                <w:sz w:val="18"/>
                <w:szCs w:val="18"/>
                <w:lang w:eastAsia="es-DO"/>
              </w:rPr>
              <w:t>Fuente</w:t>
            </w:r>
            <w:r w:rsidRPr="00E87ED5">
              <w:rPr>
                <w:rFonts w:ascii="Times New Roman" w:hAnsi="Times New Roman"/>
                <w:i/>
                <w:iCs/>
                <w:color w:val="000000"/>
                <w:sz w:val="18"/>
                <w:szCs w:val="18"/>
                <w:lang w:eastAsia="es-DO"/>
              </w:rPr>
              <w:t>: elaboración propia con datos obtenidos de las ejecuciones del POA 2026 del Departamento de Comunicaciones.</w:t>
            </w:r>
          </w:p>
        </w:tc>
      </w:tr>
    </w:tbl>
    <w:p w14:paraId="627EA8D4" w14:textId="77777777" w:rsidR="00E87ED5" w:rsidRDefault="00E87ED5" w:rsidP="00E87ED5"/>
    <w:p w14:paraId="731CDADD" w14:textId="34D1D67A" w:rsidR="00E87ED5" w:rsidRDefault="00E87ED5" w:rsidP="00E87ED5">
      <w:pPr>
        <w:pStyle w:val="Ttulo1"/>
        <w:numPr>
          <w:ilvl w:val="0"/>
          <w:numId w:val="1"/>
        </w:numPr>
        <w:spacing w:line="360" w:lineRule="auto"/>
        <w:ind w:left="0"/>
        <w:rPr>
          <w:rFonts w:ascii="Times New Roman" w:hAnsi="Times New Roman" w:cs="Times New Roman"/>
          <w:b/>
          <w:bCs/>
          <w:sz w:val="24"/>
          <w:szCs w:val="24"/>
        </w:rPr>
      </w:pPr>
      <w:bookmarkStart w:id="33" w:name="_Toc226973084"/>
      <w:r w:rsidRPr="00E87ED5">
        <w:rPr>
          <w:rFonts w:ascii="Times New Roman" w:hAnsi="Times New Roman" w:cs="Times New Roman"/>
          <w:b/>
          <w:bCs/>
          <w:sz w:val="24"/>
          <w:szCs w:val="24"/>
        </w:rPr>
        <w:t>Dirección de Planificación y Desarrollo</w:t>
      </w:r>
      <w:bookmarkEnd w:id="33"/>
    </w:p>
    <w:p w14:paraId="32C6E79B" w14:textId="1729C5FF" w:rsidR="006A6941" w:rsidRPr="006A6941" w:rsidRDefault="006A6941" w:rsidP="006A6941">
      <w:pPr>
        <w:jc w:val="both"/>
        <w:rPr>
          <w:rFonts w:ascii="Times New Roman" w:hAnsi="Times New Roman"/>
          <w:sz w:val="24"/>
          <w:szCs w:val="24"/>
        </w:rPr>
      </w:pPr>
      <w:r w:rsidRPr="006A6941">
        <w:rPr>
          <w:rFonts w:ascii="Times New Roman" w:hAnsi="Times New Roman"/>
          <w:sz w:val="24"/>
          <w:szCs w:val="24"/>
        </w:rPr>
        <w:t>La Dirección de Planificación y Desarrollo registró un alto nivel de cumplimiento en las actividades programadas para el período evaluado, destacándose la elaboración y remisión oportuna de los informes del POA, PEI, reportes físico-financieros, PACC y reportes estadísticos, así como el cumplimiento de la Carta Compromiso al Ciudadano y las acciones vinculadas a la transversalización del enfoque de género. No obstante, el indicador de las Normas Básicas de Control Interno (NOBACI) presentó una ejecución de 0 %, debido a que las actividades correspondientes están programadas para el segundo y cuarto trimestre del año 2026, específicamente la actualización del componente de Ambiente de Control (AC) en el T2 y la elaboración del componente de Actividades de Control (ADC) en el T4, conforme a los lineamientos del órgano rector.</w:t>
      </w:r>
    </w:p>
    <w:p w14:paraId="48B395C4" w14:textId="77777777" w:rsidR="006A6941" w:rsidRDefault="006A6941" w:rsidP="006A6941"/>
    <w:p w14:paraId="112FDCF1" w14:textId="77777777" w:rsidR="006A6941" w:rsidRDefault="006A6941" w:rsidP="006A6941"/>
    <w:p w14:paraId="11A6C3CD" w14:textId="77777777" w:rsidR="006A6941" w:rsidRDefault="006A6941" w:rsidP="006A6941"/>
    <w:p w14:paraId="638E2CA3" w14:textId="77777777" w:rsidR="006A6941" w:rsidRDefault="006A6941" w:rsidP="006A6941"/>
    <w:p w14:paraId="18B2486F" w14:textId="77777777" w:rsidR="00B764E4" w:rsidRDefault="00B764E4" w:rsidP="006A6941"/>
    <w:p w14:paraId="76B5F0F1" w14:textId="77777777" w:rsidR="006A6941" w:rsidRPr="006A6941" w:rsidRDefault="006A6941" w:rsidP="006A6941"/>
    <w:tbl>
      <w:tblPr>
        <w:tblW w:w="8421" w:type="dxa"/>
        <w:tblCellMar>
          <w:left w:w="70" w:type="dxa"/>
          <w:right w:w="70" w:type="dxa"/>
        </w:tblCellMar>
        <w:tblLook w:val="04A0" w:firstRow="1" w:lastRow="0" w:firstColumn="1" w:lastColumn="0" w:noHBand="0" w:noVBand="1"/>
      </w:tblPr>
      <w:tblGrid>
        <w:gridCol w:w="5849"/>
        <w:gridCol w:w="2572"/>
      </w:tblGrid>
      <w:tr w:rsidR="006A6941" w:rsidRPr="006A6941" w14:paraId="3AC853AA" w14:textId="77777777" w:rsidTr="00BA6F83">
        <w:trPr>
          <w:trHeight w:val="728"/>
        </w:trPr>
        <w:tc>
          <w:tcPr>
            <w:tcW w:w="8421" w:type="dxa"/>
            <w:gridSpan w:val="2"/>
            <w:tcBorders>
              <w:top w:val="nil"/>
              <w:left w:val="nil"/>
              <w:bottom w:val="single" w:sz="8" w:space="0" w:color="auto"/>
              <w:right w:val="nil"/>
            </w:tcBorders>
            <w:vAlign w:val="center"/>
            <w:hideMark/>
          </w:tcPr>
          <w:p w14:paraId="01F1F81E" w14:textId="5D7B354F" w:rsidR="006A6941" w:rsidRPr="006A6941" w:rsidRDefault="006A6941" w:rsidP="006A6941">
            <w:pPr>
              <w:spacing w:after="0" w:line="240" w:lineRule="auto"/>
              <w:jc w:val="center"/>
              <w:rPr>
                <w:rFonts w:ascii="Times New Roman" w:hAnsi="Times New Roman"/>
                <w:b/>
                <w:bCs/>
                <w:color w:val="000000"/>
                <w:sz w:val="24"/>
                <w:szCs w:val="24"/>
                <w:lang w:eastAsia="es-DO"/>
              </w:rPr>
            </w:pPr>
            <w:r w:rsidRPr="006A6941">
              <w:rPr>
                <w:rFonts w:ascii="Times New Roman" w:hAnsi="Times New Roman"/>
                <w:b/>
                <w:bCs/>
                <w:color w:val="000000"/>
                <w:lang w:eastAsia="es-DO"/>
              </w:rPr>
              <w:lastRenderedPageBreak/>
              <w:t xml:space="preserve">Tabla </w:t>
            </w:r>
            <w:r w:rsidRPr="00B764E4">
              <w:rPr>
                <w:rFonts w:ascii="Times New Roman" w:hAnsi="Times New Roman"/>
                <w:b/>
                <w:bCs/>
                <w:color w:val="000000"/>
                <w:lang w:eastAsia="es-DO"/>
              </w:rPr>
              <w:t>8</w:t>
            </w:r>
            <w:r w:rsidRPr="006A6941">
              <w:rPr>
                <w:rFonts w:ascii="Times New Roman" w:hAnsi="Times New Roman"/>
                <w:b/>
                <w:bCs/>
                <w:lang w:eastAsia="es-DO"/>
              </w:rPr>
              <w:t>.</w:t>
            </w:r>
            <w:r w:rsidRPr="006A6941">
              <w:rPr>
                <w:rFonts w:ascii="Times New Roman" w:hAnsi="Times New Roman"/>
                <w:color w:val="000000"/>
                <w:lang w:eastAsia="es-DO"/>
              </w:rPr>
              <w:t xml:space="preserve"> Resultados de la Dirección de Planificación y Desarrollo, según objetivo, 2026</w:t>
            </w:r>
            <w:r w:rsidRPr="006A6941">
              <w:rPr>
                <w:rFonts w:ascii="Times New Roman" w:hAnsi="Times New Roman"/>
                <w:color w:val="000000"/>
                <w:sz w:val="24"/>
                <w:szCs w:val="24"/>
                <w:lang w:eastAsia="es-DO"/>
              </w:rPr>
              <w:t>.</w:t>
            </w:r>
          </w:p>
        </w:tc>
      </w:tr>
      <w:tr w:rsidR="006A6941" w:rsidRPr="006A6941" w14:paraId="23BB33B2" w14:textId="77777777" w:rsidTr="00BA6F83">
        <w:trPr>
          <w:trHeight w:val="321"/>
        </w:trPr>
        <w:tc>
          <w:tcPr>
            <w:tcW w:w="8421"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323E8684" w14:textId="77777777" w:rsidR="006A6941" w:rsidRPr="006A6941" w:rsidRDefault="006A6941" w:rsidP="006A6941">
            <w:pPr>
              <w:spacing w:after="0" w:line="240" w:lineRule="auto"/>
              <w:jc w:val="center"/>
              <w:rPr>
                <w:rFonts w:ascii="Times New Roman" w:hAnsi="Times New Roman"/>
                <w:b/>
                <w:bCs/>
                <w:color w:val="FFFFFF"/>
                <w:sz w:val="24"/>
                <w:szCs w:val="24"/>
                <w:lang w:eastAsia="es-DO"/>
              </w:rPr>
            </w:pPr>
            <w:r w:rsidRPr="006A6941">
              <w:rPr>
                <w:rFonts w:ascii="Times New Roman" w:hAnsi="Times New Roman"/>
                <w:b/>
                <w:bCs/>
                <w:color w:val="FFFFFF"/>
                <w:sz w:val="24"/>
                <w:szCs w:val="24"/>
                <w:lang w:eastAsia="es-DO"/>
              </w:rPr>
              <w:t>Dirección de Planificación y Desarrollo</w:t>
            </w:r>
          </w:p>
        </w:tc>
      </w:tr>
      <w:tr w:rsidR="006A6941" w:rsidRPr="006A6941" w14:paraId="52B3E687" w14:textId="77777777" w:rsidTr="00BA6F83">
        <w:trPr>
          <w:trHeight w:val="321"/>
        </w:trPr>
        <w:tc>
          <w:tcPr>
            <w:tcW w:w="5849" w:type="dxa"/>
            <w:tcBorders>
              <w:top w:val="nil"/>
              <w:left w:val="single" w:sz="8" w:space="0" w:color="auto"/>
              <w:bottom w:val="single" w:sz="8" w:space="0" w:color="auto"/>
              <w:right w:val="single" w:sz="8" w:space="0" w:color="auto"/>
            </w:tcBorders>
            <w:shd w:val="clear" w:color="000000" w:fill="002060"/>
            <w:noWrap/>
            <w:vAlign w:val="center"/>
            <w:hideMark/>
          </w:tcPr>
          <w:p w14:paraId="5FBB00EA" w14:textId="1F6841F3" w:rsidR="006A6941" w:rsidRPr="006A6941" w:rsidRDefault="005545E1" w:rsidP="006A6941">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571" w:type="dxa"/>
            <w:tcBorders>
              <w:top w:val="nil"/>
              <w:left w:val="nil"/>
              <w:bottom w:val="single" w:sz="8" w:space="0" w:color="auto"/>
              <w:right w:val="single" w:sz="8" w:space="0" w:color="auto"/>
            </w:tcBorders>
            <w:shd w:val="clear" w:color="000000" w:fill="002060"/>
            <w:noWrap/>
            <w:vAlign w:val="center"/>
            <w:hideMark/>
          </w:tcPr>
          <w:p w14:paraId="241EF544" w14:textId="77777777" w:rsidR="006A6941" w:rsidRPr="006A6941" w:rsidRDefault="006A6941" w:rsidP="006A6941">
            <w:pPr>
              <w:spacing w:after="0" w:line="240" w:lineRule="auto"/>
              <w:jc w:val="center"/>
              <w:rPr>
                <w:rFonts w:ascii="Times New Roman" w:hAnsi="Times New Roman"/>
                <w:b/>
                <w:bCs/>
                <w:color w:val="FFFFFF"/>
                <w:sz w:val="24"/>
                <w:szCs w:val="24"/>
                <w:lang w:eastAsia="es-DO"/>
              </w:rPr>
            </w:pPr>
            <w:r w:rsidRPr="006A6941">
              <w:rPr>
                <w:rFonts w:ascii="Times New Roman" w:hAnsi="Times New Roman"/>
                <w:b/>
                <w:bCs/>
                <w:color w:val="FFFFFF"/>
                <w:sz w:val="24"/>
                <w:szCs w:val="24"/>
                <w:lang w:eastAsia="es-DO"/>
              </w:rPr>
              <w:t>% Cumplimiento</w:t>
            </w:r>
          </w:p>
        </w:tc>
      </w:tr>
      <w:tr w:rsidR="006A6941" w:rsidRPr="006A6941" w14:paraId="47044926"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5A9FA50E"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 los informes de ejecución trimestral del POA</w:t>
            </w:r>
          </w:p>
        </w:tc>
        <w:tc>
          <w:tcPr>
            <w:tcW w:w="2571" w:type="dxa"/>
            <w:tcBorders>
              <w:top w:val="nil"/>
              <w:left w:val="nil"/>
              <w:bottom w:val="single" w:sz="8" w:space="0" w:color="auto"/>
              <w:right w:val="single" w:sz="8" w:space="0" w:color="auto"/>
            </w:tcBorders>
            <w:shd w:val="clear" w:color="000000" w:fill="FFFFFF"/>
            <w:noWrap/>
            <w:vAlign w:val="center"/>
            <w:hideMark/>
          </w:tcPr>
          <w:p w14:paraId="398BE606"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9F54C85" w14:textId="77777777" w:rsidTr="00BA6F83">
        <w:trPr>
          <w:trHeight w:val="331"/>
        </w:trPr>
        <w:tc>
          <w:tcPr>
            <w:tcW w:w="5849" w:type="dxa"/>
            <w:tcBorders>
              <w:top w:val="nil"/>
              <w:left w:val="single" w:sz="8" w:space="0" w:color="auto"/>
              <w:bottom w:val="single" w:sz="8" w:space="0" w:color="auto"/>
              <w:right w:val="single" w:sz="8" w:space="0" w:color="auto"/>
            </w:tcBorders>
            <w:vAlign w:val="center"/>
            <w:hideMark/>
          </w:tcPr>
          <w:p w14:paraId="0A770FE6"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del informe de ejecución anual del POA</w:t>
            </w:r>
          </w:p>
        </w:tc>
        <w:tc>
          <w:tcPr>
            <w:tcW w:w="2571" w:type="dxa"/>
            <w:tcBorders>
              <w:top w:val="nil"/>
              <w:left w:val="nil"/>
              <w:bottom w:val="single" w:sz="8" w:space="0" w:color="auto"/>
              <w:right w:val="single" w:sz="8" w:space="0" w:color="auto"/>
            </w:tcBorders>
            <w:shd w:val="clear" w:color="000000" w:fill="FFFFFF"/>
            <w:noWrap/>
            <w:vAlign w:val="center"/>
            <w:hideMark/>
          </w:tcPr>
          <w:p w14:paraId="14A99CE9"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EF6ECB1"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628554CB"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del informe de ejecución anual del PEI 2025</w:t>
            </w:r>
          </w:p>
        </w:tc>
        <w:tc>
          <w:tcPr>
            <w:tcW w:w="2571" w:type="dxa"/>
            <w:tcBorders>
              <w:top w:val="nil"/>
              <w:left w:val="nil"/>
              <w:bottom w:val="single" w:sz="8" w:space="0" w:color="auto"/>
              <w:right w:val="single" w:sz="8" w:space="0" w:color="auto"/>
            </w:tcBorders>
            <w:shd w:val="clear" w:color="000000" w:fill="FFFFFF"/>
            <w:noWrap/>
            <w:vAlign w:val="center"/>
            <w:hideMark/>
          </w:tcPr>
          <w:p w14:paraId="3012DEB7"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9B37A37"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41E336D1"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 los informes de ejecución físico-financiero</w:t>
            </w:r>
          </w:p>
        </w:tc>
        <w:tc>
          <w:tcPr>
            <w:tcW w:w="2571" w:type="dxa"/>
            <w:tcBorders>
              <w:top w:val="nil"/>
              <w:left w:val="nil"/>
              <w:bottom w:val="single" w:sz="8" w:space="0" w:color="auto"/>
              <w:right w:val="single" w:sz="8" w:space="0" w:color="auto"/>
            </w:tcBorders>
            <w:shd w:val="clear" w:color="000000" w:fill="FFFFFF"/>
            <w:noWrap/>
            <w:vAlign w:val="center"/>
            <w:hideMark/>
          </w:tcPr>
          <w:p w14:paraId="44BAB4B6"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17F47D07"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0564707E"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de informes trimestrales del Plan Anual de Compras y Contrataciones (PACC)</w:t>
            </w:r>
          </w:p>
        </w:tc>
        <w:tc>
          <w:tcPr>
            <w:tcW w:w="2571" w:type="dxa"/>
            <w:tcBorders>
              <w:top w:val="nil"/>
              <w:left w:val="nil"/>
              <w:bottom w:val="single" w:sz="8" w:space="0" w:color="auto"/>
              <w:right w:val="single" w:sz="8" w:space="0" w:color="auto"/>
            </w:tcBorders>
            <w:shd w:val="clear" w:color="000000" w:fill="FFFFFF"/>
            <w:noWrap/>
            <w:vAlign w:val="center"/>
            <w:hideMark/>
          </w:tcPr>
          <w:p w14:paraId="793C4373"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FDE3ADF"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196D3EE7"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Reformulación del Plan Anual de Compras y Contrataciones (PACC)</w:t>
            </w:r>
          </w:p>
        </w:tc>
        <w:tc>
          <w:tcPr>
            <w:tcW w:w="2571" w:type="dxa"/>
            <w:tcBorders>
              <w:top w:val="nil"/>
              <w:left w:val="nil"/>
              <w:bottom w:val="single" w:sz="8" w:space="0" w:color="auto"/>
              <w:right w:val="single" w:sz="8" w:space="0" w:color="auto"/>
            </w:tcBorders>
            <w:shd w:val="clear" w:color="000000" w:fill="FFFFFF"/>
            <w:noWrap/>
            <w:vAlign w:val="center"/>
            <w:hideMark/>
          </w:tcPr>
          <w:p w14:paraId="0F12D0BA"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C94EB64"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6B856BE7"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 reportes estadísticos trimestrales de los principales servicios de la institución</w:t>
            </w:r>
          </w:p>
        </w:tc>
        <w:tc>
          <w:tcPr>
            <w:tcW w:w="2571" w:type="dxa"/>
            <w:tcBorders>
              <w:top w:val="nil"/>
              <w:left w:val="nil"/>
              <w:bottom w:val="single" w:sz="8" w:space="0" w:color="auto"/>
              <w:right w:val="single" w:sz="8" w:space="0" w:color="auto"/>
            </w:tcBorders>
            <w:shd w:val="clear" w:color="000000" w:fill="FFFFFF"/>
            <w:noWrap/>
            <w:vAlign w:val="center"/>
            <w:hideMark/>
          </w:tcPr>
          <w:p w14:paraId="78897686"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1F939FA1"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081726C9"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y remisión de reportes estadísticos mensuales al Ministerio de Agricultura</w:t>
            </w:r>
          </w:p>
        </w:tc>
        <w:tc>
          <w:tcPr>
            <w:tcW w:w="2571" w:type="dxa"/>
            <w:tcBorders>
              <w:top w:val="nil"/>
              <w:left w:val="nil"/>
              <w:bottom w:val="single" w:sz="8" w:space="0" w:color="auto"/>
              <w:right w:val="single" w:sz="8" w:space="0" w:color="auto"/>
            </w:tcBorders>
            <w:shd w:val="clear" w:color="000000" w:fill="FFFFFF"/>
            <w:noWrap/>
            <w:vAlign w:val="center"/>
            <w:hideMark/>
          </w:tcPr>
          <w:p w14:paraId="7B379D1F"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15B1FDAC" w14:textId="77777777" w:rsidTr="00BA6F83">
        <w:trPr>
          <w:trHeight w:val="331"/>
        </w:trPr>
        <w:tc>
          <w:tcPr>
            <w:tcW w:w="5849" w:type="dxa"/>
            <w:tcBorders>
              <w:top w:val="nil"/>
              <w:left w:val="single" w:sz="8" w:space="0" w:color="auto"/>
              <w:bottom w:val="single" w:sz="8" w:space="0" w:color="auto"/>
              <w:right w:val="single" w:sz="8" w:space="0" w:color="auto"/>
            </w:tcBorders>
            <w:vAlign w:val="center"/>
            <w:hideMark/>
          </w:tcPr>
          <w:p w14:paraId="7D5FB695"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 xml:space="preserve"> NOBACI</w:t>
            </w:r>
          </w:p>
        </w:tc>
        <w:tc>
          <w:tcPr>
            <w:tcW w:w="2571" w:type="dxa"/>
            <w:tcBorders>
              <w:top w:val="nil"/>
              <w:left w:val="nil"/>
              <w:bottom w:val="single" w:sz="8" w:space="0" w:color="auto"/>
              <w:right w:val="single" w:sz="8" w:space="0" w:color="auto"/>
            </w:tcBorders>
            <w:shd w:val="clear" w:color="000000" w:fill="FFFFFF"/>
            <w:noWrap/>
            <w:vAlign w:val="center"/>
            <w:hideMark/>
          </w:tcPr>
          <w:p w14:paraId="5BEC5CD3"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0%</w:t>
            </w:r>
          </w:p>
        </w:tc>
      </w:tr>
      <w:tr w:rsidR="006A6941" w:rsidRPr="006A6941" w14:paraId="4D2C6631" w14:textId="77777777" w:rsidTr="00BA6F83">
        <w:trPr>
          <w:trHeight w:val="331"/>
        </w:trPr>
        <w:tc>
          <w:tcPr>
            <w:tcW w:w="5849" w:type="dxa"/>
            <w:tcBorders>
              <w:top w:val="nil"/>
              <w:left w:val="single" w:sz="8" w:space="0" w:color="auto"/>
              <w:bottom w:val="single" w:sz="8" w:space="0" w:color="auto"/>
              <w:right w:val="single" w:sz="8" w:space="0" w:color="auto"/>
            </w:tcBorders>
            <w:vAlign w:val="center"/>
            <w:hideMark/>
          </w:tcPr>
          <w:p w14:paraId="685D5BFD"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 xml:space="preserve">Carta Compromiso al Ciudadano </w:t>
            </w:r>
          </w:p>
        </w:tc>
        <w:tc>
          <w:tcPr>
            <w:tcW w:w="2571" w:type="dxa"/>
            <w:tcBorders>
              <w:top w:val="nil"/>
              <w:left w:val="nil"/>
              <w:bottom w:val="single" w:sz="8" w:space="0" w:color="auto"/>
              <w:right w:val="single" w:sz="8" w:space="0" w:color="auto"/>
            </w:tcBorders>
            <w:shd w:val="clear" w:color="000000" w:fill="FFFFFF"/>
            <w:noWrap/>
            <w:vAlign w:val="center"/>
            <w:hideMark/>
          </w:tcPr>
          <w:p w14:paraId="609EF511"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7C8AEC72"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3B59378C"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Implementación de la desagregación por sexo en todos los registros internos y externos del INESPRE</w:t>
            </w:r>
          </w:p>
        </w:tc>
        <w:tc>
          <w:tcPr>
            <w:tcW w:w="2571" w:type="dxa"/>
            <w:tcBorders>
              <w:top w:val="nil"/>
              <w:left w:val="nil"/>
              <w:bottom w:val="single" w:sz="8" w:space="0" w:color="auto"/>
              <w:right w:val="single" w:sz="8" w:space="0" w:color="auto"/>
            </w:tcBorders>
            <w:shd w:val="clear" w:color="000000" w:fill="FFFFFF"/>
            <w:noWrap/>
            <w:vAlign w:val="center"/>
            <w:hideMark/>
          </w:tcPr>
          <w:p w14:paraId="68B4D637"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340C1603" w14:textId="77777777" w:rsidTr="00BA6F83">
        <w:trPr>
          <w:trHeight w:val="652"/>
        </w:trPr>
        <w:tc>
          <w:tcPr>
            <w:tcW w:w="5849" w:type="dxa"/>
            <w:tcBorders>
              <w:top w:val="nil"/>
              <w:left w:val="single" w:sz="8" w:space="0" w:color="auto"/>
              <w:bottom w:val="single" w:sz="8" w:space="0" w:color="auto"/>
              <w:right w:val="single" w:sz="8" w:space="0" w:color="auto"/>
            </w:tcBorders>
            <w:vAlign w:val="center"/>
            <w:hideMark/>
          </w:tcPr>
          <w:p w14:paraId="789DC3E7"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Elaboración de informes trimestrales de impacto de género al Ministerio de la Mujer</w:t>
            </w:r>
          </w:p>
        </w:tc>
        <w:tc>
          <w:tcPr>
            <w:tcW w:w="2571" w:type="dxa"/>
            <w:tcBorders>
              <w:top w:val="nil"/>
              <w:left w:val="nil"/>
              <w:bottom w:val="single" w:sz="8" w:space="0" w:color="auto"/>
              <w:right w:val="single" w:sz="8" w:space="0" w:color="auto"/>
            </w:tcBorders>
            <w:shd w:val="clear" w:color="000000" w:fill="FFFFFF"/>
            <w:noWrap/>
            <w:vAlign w:val="center"/>
            <w:hideMark/>
          </w:tcPr>
          <w:p w14:paraId="577163BC"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6FD889A" w14:textId="77777777" w:rsidTr="00BA6F83">
        <w:trPr>
          <w:trHeight w:val="331"/>
        </w:trPr>
        <w:tc>
          <w:tcPr>
            <w:tcW w:w="5849" w:type="dxa"/>
            <w:tcBorders>
              <w:top w:val="nil"/>
              <w:left w:val="single" w:sz="8" w:space="0" w:color="auto"/>
              <w:bottom w:val="single" w:sz="8" w:space="0" w:color="auto"/>
              <w:right w:val="single" w:sz="8" w:space="0" w:color="auto"/>
            </w:tcBorders>
            <w:vAlign w:val="center"/>
            <w:hideMark/>
          </w:tcPr>
          <w:p w14:paraId="4EB54E73"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Ejecución de acciones en fechas conmemorativas de género</w:t>
            </w:r>
          </w:p>
        </w:tc>
        <w:tc>
          <w:tcPr>
            <w:tcW w:w="2571" w:type="dxa"/>
            <w:tcBorders>
              <w:top w:val="nil"/>
              <w:left w:val="nil"/>
              <w:bottom w:val="single" w:sz="8" w:space="0" w:color="auto"/>
              <w:right w:val="single" w:sz="8" w:space="0" w:color="auto"/>
            </w:tcBorders>
            <w:shd w:val="clear" w:color="000000" w:fill="FFFFFF"/>
            <w:noWrap/>
            <w:vAlign w:val="center"/>
            <w:hideMark/>
          </w:tcPr>
          <w:p w14:paraId="1C8F780F"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04C363F2" w14:textId="77777777" w:rsidTr="00BA6F83">
        <w:trPr>
          <w:trHeight w:val="321"/>
        </w:trPr>
        <w:tc>
          <w:tcPr>
            <w:tcW w:w="5849" w:type="dxa"/>
            <w:tcBorders>
              <w:top w:val="nil"/>
              <w:left w:val="single" w:sz="8" w:space="0" w:color="auto"/>
              <w:bottom w:val="single" w:sz="8" w:space="0" w:color="auto"/>
              <w:right w:val="single" w:sz="8" w:space="0" w:color="auto"/>
            </w:tcBorders>
            <w:shd w:val="clear" w:color="000000" w:fill="002060"/>
            <w:noWrap/>
            <w:vAlign w:val="center"/>
            <w:hideMark/>
          </w:tcPr>
          <w:p w14:paraId="076E5BC8" w14:textId="7924B1B3" w:rsidR="006A6941" w:rsidRPr="006A6941" w:rsidRDefault="003944F9" w:rsidP="006A6941">
            <w:pPr>
              <w:spacing w:after="0" w:line="240" w:lineRule="auto"/>
              <w:rPr>
                <w:rFonts w:ascii="Times New Roman" w:hAnsi="Times New Roman"/>
                <w:b/>
                <w:bCs/>
                <w:color w:val="FFFFFF"/>
                <w:sz w:val="24"/>
                <w:szCs w:val="24"/>
                <w:lang w:eastAsia="es-DO"/>
              </w:rPr>
            </w:pPr>
            <w:r w:rsidRPr="00E87ED5">
              <w:rPr>
                <w:rFonts w:ascii="Times New Roman" w:hAnsi="Times New Roman"/>
                <w:b/>
                <w:bCs/>
                <w:color w:val="FFFFFF"/>
                <w:sz w:val="24"/>
                <w:szCs w:val="24"/>
                <w:lang w:eastAsia="es-DO"/>
              </w:rPr>
              <w:t>Porcentaje total de cumplimiento</w:t>
            </w:r>
          </w:p>
        </w:tc>
        <w:tc>
          <w:tcPr>
            <w:tcW w:w="2571" w:type="dxa"/>
            <w:tcBorders>
              <w:top w:val="nil"/>
              <w:left w:val="nil"/>
              <w:bottom w:val="single" w:sz="8" w:space="0" w:color="auto"/>
              <w:right w:val="single" w:sz="8" w:space="0" w:color="auto"/>
            </w:tcBorders>
            <w:shd w:val="clear" w:color="000000" w:fill="002060"/>
            <w:noWrap/>
            <w:vAlign w:val="center"/>
            <w:hideMark/>
          </w:tcPr>
          <w:p w14:paraId="2FC3C759" w14:textId="3E413A3F" w:rsidR="006A6941" w:rsidRPr="006A6941" w:rsidRDefault="006A6941" w:rsidP="006A6941">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92%</w:t>
            </w:r>
          </w:p>
        </w:tc>
      </w:tr>
      <w:tr w:rsidR="006A6941" w:rsidRPr="006A6941" w14:paraId="1DCF8451" w14:textId="77777777" w:rsidTr="00BA6F83">
        <w:trPr>
          <w:trHeight w:val="621"/>
        </w:trPr>
        <w:tc>
          <w:tcPr>
            <w:tcW w:w="8421" w:type="dxa"/>
            <w:gridSpan w:val="2"/>
            <w:tcBorders>
              <w:top w:val="single" w:sz="8" w:space="0" w:color="auto"/>
              <w:left w:val="nil"/>
              <w:bottom w:val="nil"/>
              <w:right w:val="nil"/>
            </w:tcBorders>
            <w:vAlign w:val="center"/>
            <w:hideMark/>
          </w:tcPr>
          <w:p w14:paraId="56DE00BF" w14:textId="77777777" w:rsidR="006A6941" w:rsidRPr="006A6941" w:rsidRDefault="006A6941" w:rsidP="006A6941">
            <w:pPr>
              <w:spacing w:after="0" w:line="240" w:lineRule="auto"/>
              <w:jc w:val="center"/>
              <w:rPr>
                <w:rFonts w:ascii="Times New Roman" w:hAnsi="Times New Roman"/>
                <w:b/>
                <w:bCs/>
                <w:i/>
                <w:iCs/>
                <w:color w:val="000000"/>
                <w:sz w:val="18"/>
                <w:szCs w:val="18"/>
                <w:lang w:eastAsia="es-DO"/>
              </w:rPr>
            </w:pPr>
            <w:r w:rsidRPr="006A6941">
              <w:rPr>
                <w:rFonts w:ascii="Times New Roman" w:hAnsi="Times New Roman"/>
                <w:b/>
                <w:bCs/>
                <w:i/>
                <w:iCs/>
                <w:color w:val="000000"/>
                <w:sz w:val="18"/>
                <w:szCs w:val="18"/>
                <w:lang w:eastAsia="es-DO"/>
              </w:rPr>
              <w:t>Fuente</w:t>
            </w:r>
            <w:r w:rsidRPr="006A6941">
              <w:rPr>
                <w:rFonts w:ascii="Times New Roman" w:hAnsi="Times New Roman"/>
                <w:i/>
                <w:iCs/>
                <w:color w:val="000000"/>
                <w:sz w:val="18"/>
                <w:szCs w:val="18"/>
                <w:lang w:eastAsia="es-DO"/>
              </w:rPr>
              <w:t>: elaboración propia con datos obtenidos de las ejecuciones del POA 2026 de la Dirección de Planificación y Desarrollo.</w:t>
            </w:r>
          </w:p>
        </w:tc>
      </w:tr>
    </w:tbl>
    <w:p w14:paraId="269E1759" w14:textId="77777777" w:rsidR="006A6941" w:rsidRPr="006A6941" w:rsidRDefault="006A6941" w:rsidP="006A6941"/>
    <w:p w14:paraId="7428F874" w14:textId="075AB92B" w:rsidR="006A6941" w:rsidRDefault="006A6941" w:rsidP="006A6941">
      <w:pPr>
        <w:pStyle w:val="Ttulo1"/>
        <w:numPr>
          <w:ilvl w:val="0"/>
          <w:numId w:val="1"/>
        </w:numPr>
        <w:spacing w:line="360" w:lineRule="auto"/>
        <w:ind w:left="0"/>
        <w:rPr>
          <w:rFonts w:ascii="Times New Roman" w:hAnsi="Times New Roman" w:cs="Times New Roman"/>
          <w:b/>
          <w:bCs/>
          <w:sz w:val="24"/>
          <w:szCs w:val="24"/>
        </w:rPr>
      </w:pPr>
      <w:bookmarkStart w:id="34" w:name="_Toc226973085"/>
      <w:r w:rsidRPr="00E87ED5">
        <w:rPr>
          <w:rFonts w:ascii="Times New Roman" w:hAnsi="Times New Roman" w:cs="Times New Roman"/>
          <w:b/>
          <w:bCs/>
          <w:sz w:val="24"/>
          <w:szCs w:val="24"/>
        </w:rPr>
        <w:t xml:space="preserve">Dirección </w:t>
      </w:r>
      <w:r w:rsidRPr="006A6941">
        <w:rPr>
          <w:rFonts w:ascii="Times New Roman" w:hAnsi="Times New Roman" w:cs="Times New Roman"/>
          <w:b/>
          <w:bCs/>
          <w:sz w:val="24"/>
          <w:szCs w:val="24"/>
        </w:rPr>
        <w:t>de Recursos Humanos</w:t>
      </w:r>
      <w:bookmarkEnd w:id="34"/>
    </w:p>
    <w:p w14:paraId="0FEBC76A" w14:textId="34AE51BA" w:rsidR="006A6941" w:rsidRDefault="006A6941" w:rsidP="006A6941">
      <w:pPr>
        <w:jc w:val="both"/>
        <w:rPr>
          <w:rFonts w:ascii="Times New Roman" w:hAnsi="Times New Roman"/>
          <w:sz w:val="24"/>
          <w:szCs w:val="24"/>
        </w:rPr>
      </w:pPr>
      <w:r w:rsidRPr="006A6941">
        <w:rPr>
          <w:rFonts w:ascii="Times New Roman" w:hAnsi="Times New Roman"/>
          <w:sz w:val="24"/>
          <w:szCs w:val="24"/>
        </w:rPr>
        <w:t xml:space="preserve">La Dirección de Recursos Humanos registró un alto nivel de cumplimiento en las actividades programadas para el período evaluado, destacándose la implementación de la escala salarial, la gestión de seguros, la ejecución del Plan de Seguridad y Salud Ocupacional, la atención médica al personal, la gestión de prestaciones laborales, así como los reportes a las entidades correspondientes y la actualización y digitalización de expedientes. De igual forma, se evidenció cumplimiento en la gestión de nómina, control de asistencia, procesos de ingreso, promoción e inducción de personal, así como en la </w:t>
      </w:r>
      <w:r w:rsidRPr="006A6941">
        <w:rPr>
          <w:rFonts w:ascii="Times New Roman" w:hAnsi="Times New Roman"/>
          <w:sz w:val="24"/>
          <w:szCs w:val="24"/>
        </w:rPr>
        <w:lastRenderedPageBreak/>
        <w:t>ejecución de los planes de capacitación y bienestar institucional. No obstante, el indicador de registro de novedades a la TSS presentó una ejecución parcial, mientras que el monitoreo de los acuerdos de desempeño 2026 registró un 0 %, debido a que, conforme a la programación establecida, el primer monitoreo corresponde al mes de marzo. Asimismo, no se generaron reportes de inducción durante el período, debido a la ausencia de nuevos ingresos de personal en el mes evaluado.</w:t>
      </w:r>
    </w:p>
    <w:tbl>
      <w:tblPr>
        <w:tblW w:w="8371" w:type="dxa"/>
        <w:tblCellMar>
          <w:left w:w="70" w:type="dxa"/>
          <w:right w:w="70" w:type="dxa"/>
        </w:tblCellMar>
        <w:tblLook w:val="04A0" w:firstRow="1" w:lastRow="0" w:firstColumn="1" w:lastColumn="0" w:noHBand="0" w:noVBand="1"/>
      </w:tblPr>
      <w:tblGrid>
        <w:gridCol w:w="5814"/>
        <w:gridCol w:w="2557"/>
      </w:tblGrid>
      <w:tr w:rsidR="006A6941" w:rsidRPr="006A6941" w14:paraId="4E4C0858" w14:textId="77777777" w:rsidTr="00BA6F83">
        <w:trPr>
          <w:trHeight w:val="718"/>
        </w:trPr>
        <w:tc>
          <w:tcPr>
            <w:tcW w:w="8371" w:type="dxa"/>
            <w:gridSpan w:val="2"/>
            <w:tcBorders>
              <w:top w:val="nil"/>
              <w:left w:val="nil"/>
              <w:bottom w:val="single" w:sz="8" w:space="0" w:color="auto"/>
              <w:right w:val="nil"/>
            </w:tcBorders>
            <w:vAlign w:val="center"/>
            <w:hideMark/>
          </w:tcPr>
          <w:p w14:paraId="6A6F6394" w14:textId="1FC957D0" w:rsidR="006A6941" w:rsidRPr="006A6941" w:rsidRDefault="006A6941" w:rsidP="006A6941">
            <w:pPr>
              <w:spacing w:after="0" w:line="240" w:lineRule="auto"/>
              <w:jc w:val="center"/>
              <w:rPr>
                <w:rFonts w:ascii="Times New Roman" w:hAnsi="Times New Roman"/>
                <w:b/>
                <w:bCs/>
                <w:color w:val="000000"/>
                <w:lang w:eastAsia="es-DO"/>
              </w:rPr>
            </w:pPr>
            <w:r w:rsidRPr="006A6941">
              <w:rPr>
                <w:rFonts w:ascii="Times New Roman" w:hAnsi="Times New Roman"/>
                <w:b/>
                <w:bCs/>
                <w:color w:val="000000"/>
                <w:lang w:eastAsia="es-DO"/>
              </w:rPr>
              <w:t>Tabla 9</w:t>
            </w:r>
            <w:r w:rsidRPr="006A6941">
              <w:rPr>
                <w:rFonts w:ascii="Times New Roman" w:hAnsi="Times New Roman"/>
                <w:b/>
                <w:bCs/>
                <w:lang w:eastAsia="es-DO"/>
              </w:rPr>
              <w:t>.</w:t>
            </w:r>
            <w:r w:rsidRPr="006A6941">
              <w:rPr>
                <w:rFonts w:ascii="Times New Roman" w:hAnsi="Times New Roman"/>
                <w:color w:val="000000"/>
                <w:lang w:eastAsia="es-DO"/>
              </w:rPr>
              <w:t xml:space="preserve"> Resultados de la Dirección de Recursos Humanos, según objetivo, 2026.</w:t>
            </w:r>
          </w:p>
        </w:tc>
      </w:tr>
      <w:tr w:rsidR="006A6941" w:rsidRPr="006A6941" w14:paraId="66DEA95B" w14:textId="77777777" w:rsidTr="00BA6F83">
        <w:trPr>
          <w:trHeight w:val="316"/>
        </w:trPr>
        <w:tc>
          <w:tcPr>
            <w:tcW w:w="8371"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55E9012B" w14:textId="77777777" w:rsidR="006A6941" w:rsidRPr="006A6941" w:rsidRDefault="006A6941" w:rsidP="006A6941">
            <w:pPr>
              <w:spacing w:after="0" w:line="240" w:lineRule="auto"/>
              <w:jc w:val="center"/>
              <w:rPr>
                <w:rFonts w:ascii="Times New Roman" w:hAnsi="Times New Roman"/>
                <w:b/>
                <w:bCs/>
                <w:color w:val="FFFFFF"/>
                <w:sz w:val="24"/>
                <w:szCs w:val="24"/>
                <w:lang w:eastAsia="es-DO"/>
              </w:rPr>
            </w:pPr>
            <w:r w:rsidRPr="006A6941">
              <w:rPr>
                <w:rFonts w:ascii="Times New Roman" w:hAnsi="Times New Roman"/>
                <w:b/>
                <w:bCs/>
                <w:color w:val="FFFFFF"/>
                <w:sz w:val="24"/>
                <w:szCs w:val="24"/>
                <w:lang w:eastAsia="es-DO"/>
              </w:rPr>
              <w:t>Dirección de Recursos Humanos</w:t>
            </w:r>
          </w:p>
        </w:tc>
      </w:tr>
      <w:tr w:rsidR="006A6941" w:rsidRPr="006A6941" w14:paraId="54F87856" w14:textId="77777777" w:rsidTr="00BA6F83">
        <w:trPr>
          <w:trHeight w:val="316"/>
        </w:trPr>
        <w:tc>
          <w:tcPr>
            <w:tcW w:w="5814" w:type="dxa"/>
            <w:tcBorders>
              <w:top w:val="nil"/>
              <w:left w:val="single" w:sz="8" w:space="0" w:color="auto"/>
              <w:bottom w:val="single" w:sz="8" w:space="0" w:color="auto"/>
              <w:right w:val="single" w:sz="8" w:space="0" w:color="auto"/>
            </w:tcBorders>
            <w:shd w:val="clear" w:color="000000" w:fill="002060"/>
            <w:noWrap/>
            <w:vAlign w:val="center"/>
            <w:hideMark/>
          </w:tcPr>
          <w:p w14:paraId="071406FE" w14:textId="65C2B44F" w:rsidR="006A6941" w:rsidRPr="006A6941" w:rsidRDefault="005545E1" w:rsidP="006A6941">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556" w:type="dxa"/>
            <w:tcBorders>
              <w:top w:val="nil"/>
              <w:left w:val="nil"/>
              <w:bottom w:val="single" w:sz="8" w:space="0" w:color="auto"/>
              <w:right w:val="single" w:sz="8" w:space="0" w:color="auto"/>
            </w:tcBorders>
            <w:shd w:val="clear" w:color="000000" w:fill="002060"/>
            <w:noWrap/>
            <w:vAlign w:val="center"/>
            <w:hideMark/>
          </w:tcPr>
          <w:p w14:paraId="265CE636" w14:textId="77777777" w:rsidR="006A6941" w:rsidRPr="006A6941" w:rsidRDefault="006A6941" w:rsidP="006A6941">
            <w:pPr>
              <w:spacing w:after="0" w:line="240" w:lineRule="auto"/>
              <w:jc w:val="center"/>
              <w:rPr>
                <w:rFonts w:ascii="Times New Roman" w:hAnsi="Times New Roman"/>
                <w:b/>
                <w:bCs/>
                <w:color w:val="FFFFFF"/>
                <w:sz w:val="24"/>
                <w:szCs w:val="24"/>
                <w:lang w:eastAsia="es-DO"/>
              </w:rPr>
            </w:pPr>
            <w:r w:rsidRPr="006A6941">
              <w:rPr>
                <w:rFonts w:ascii="Times New Roman" w:hAnsi="Times New Roman"/>
                <w:b/>
                <w:bCs/>
                <w:color w:val="FFFFFF"/>
                <w:sz w:val="24"/>
                <w:szCs w:val="24"/>
                <w:lang w:eastAsia="es-DO"/>
              </w:rPr>
              <w:t>% Cumplimiento</w:t>
            </w:r>
          </w:p>
        </w:tc>
      </w:tr>
      <w:tr w:rsidR="006A6941" w:rsidRPr="006A6941" w14:paraId="72B85D9F" w14:textId="77777777" w:rsidTr="00BA6F83">
        <w:trPr>
          <w:trHeight w:val="326"/>
        </w:trPr>
        <w:tc>
          <w:tcPr>
            <w:tcW w:w="5814" w:type="dxa"/>
            <w:tcBorders>
              <w:top w:val="nil"/>
              <w:left w:val="single" w:sz="8" w:space="0" w:color="auto"/>
              <w:bottom w:val="single" w:sz="8" w:space="0" w:color="auto"/>
              <w:right w:val="single" w:sz="8" w:space="0" w:color="auto"/>
            </w:tcBorders>
            <w:vAlign w:val="center"/>
            <w:hideMark/>
          </w:tcPr>
          <w:p w14:paraId="5B2D6976"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Implementación adecuada de la Escala Salarial.</w:t>
            </w:r>
          </w:p>
        </w:tc>
        <w:tc>
          <w:tcPr>
            <w:tcW w:w="2556" w:type="dxa"/>
            <w:tcBorders>
              <w:top w:val="nil"/>
              <w:left w:val="nil"/>
              <w:bottom w:val="single" w:sz="8" w:space="0" w:color="auto"/>
              <w:right w:val="single" w:sz="8" w:space="0" w:color="auto"/>
            </w:tcBorders>
            <w:shd w:val="clear" w:color="000000" w:fill="FFFFFF"/>
            <w:noWrap/>
            <w:vAlign w:val="center"/>
            <w:hideMark/>
          </w:tcPr>
          <w:p w14:paraId="7833B51F"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150585C3" w14:textId="77777777" w:rsidTr="00BA6F83">
        <w:trPr>
          <w:trHeight w:val="643"/>
        </w:trPr>
        <w:tc>
          <w:tcPr>
            <w:tcW w:w="5814" w:type="dxa"/>
            <w:tcBorders>
              <w:top w:val="nil"/>
              <w:left w:val="single" w:sz="8" w:space="0" w:color="auto"/>
              <w:bottom w:val="single" w:sz="8" w:space="0" w:color="auto"/>
              <w:right w:val="single" w:sz="8" w:space="0" w:color="auto"/>
            </w:tcBorders>
            <w:vAlign w:val="center"/>
            <w:hideMark/>
          </w:tcPr>
          <w:p w14:paraId="25EC843D"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Supervisión y gestión de las pólizas de seguros complementarios y básico.</w:t>
            </w:r>
          </w:p>
        </w:tc>
        <w:tc>
          <w:tcPr>
            <w:tcW w:w="2556" w:type="dxa"/>
            <w:tcBorders>
              <w:top w:val="nil"/>
              <w:left w:val="nil"/>
              <w:bottom w:val="single" w:sz="8" w:space="0" w:color="auto"/>
              <w:right w:val="single" w:sz="8" w:space="0" w:color="auto"/>
            </w:tcBorders>
            <w:shd w:val="clear" w:color="000000" w:fill="FFFFFF"/>
            <w:noWrap/>
            <w:vAlign w:val="center"/>
            <w:hideMark/>
          </w:tcPr>
          <w:p w14:paraId="7D99EC27"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65F41EA"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0FE94B68"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Seguimiento y ejecución del Plan de Seguridad y Salud Ocupacional 2026.</w:t>
            </w:r>
          </w:p>
        </w:tc>
        <w:tc>
          <w:tcPr>
            <w:tcW w:w="2556" w:type="dxa"/>
            <w:tcBorders>
              <w:top w:val="nil"/>
              <w:left w:val="nil"/>
              <w:bottom w:val="single" w:sz="8" w:space="0" w:color="auto"/>
              <w:right w:val="single" w:sz="8" w:space="0" w:color="auto"/>
            </w:tcBorders>
            <w:shd w:val="clear" w:color="000000" w:fill="FFFFFF"/>
            <w:noWrap/>
            <w:vAlign w:val="center"/>
            <w:hideMark/>
          </w:tcPr>
          <w:p w14:paraId="03FE85CA"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A785767" w14:textId="77777777" w:rsidTr="00BA6F83">
        <w:trPr>
          <w:trHeight w:val="725"/>
        </w:trPr>
        <w:tc>
          <w:tcPr>
            <w:tcW w:w="5814" w:type="dxa"/>
            <w:tcBorders>
              <w:top w:val="nil"/>
              <w:left w:val="single" w:sz="8" w:space="0" w:color="auto"/>
              <w:bottom w:val="single" w:sz="8" w:space="0" w:color="auto"/>
              <w:right w:val="single" w:sz="8" w:space="0" w:color="auto"/>
            </w:tcBorders>
            <w:vAlign w:val="center"/>
            <w:hideMark/>
          </w:tcPr>
          <w:p w14:paraId="1F709C4E"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Reportes a la IDOPRIL sobre casos concernientes a los accidentes laborales (AT) y/o enfermedades ocupacionales (EP).</w:t>
            </w:r>
          </w:p>
        </w:tc>
        <w:tc>
          <w:tcPr>
            <w:tcW w:w="2556" w:type="dxa"/>
            <w:tcBorders>
              <w:top w:val="nil"/>
              <w:left w:val="nil"/>
              <w:bottom w:val="single" w:sz="8" w:space="0" w:color="auto"/>
              <w:right w:val="single" w:sz="8" w:space="0" w:color="auto"/>
            </w:tcBorders>
            <w:shd w:val="clear" w:color="000000" w:fill="FFFFFF"/>
            <w:noWrap/>
            <w:vAlign w:val="center"/>
            <w:hideMark/>
          </w:tcPr>
          <w:p w14:paraId="3E291E33"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3FD86E5C" w14:textId="77777777" w:rsidTr="00BA6F83">
        <w:trPr>
          <w:trHeight w:val="704"/>
        </w:trPr>
        <w:tc>
          <w:tcPr>
            <w:tcW w:w="5814" w:type="dxa"/>
            <w:tcBorders>
              <w:top w:val="nil"/>
              <w:left w:val="single" w:sz="8" w:space="0" w:color="auto"/>
              <w:bottom w:val="single" w:sz="8" w:space="0" w:color="auto"/>
              <w:right w:val="single" w:sz="8" w:space="0" w:color="auto"/>
            </w:tcBorders>
            <w:vAlign w:val="center"/>
            <w:hideMark/>
          </w:tcPr>
          <w:p w14:paraId="05BDF233"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Reportes a la SISALRIL sobre casos correspondientes a enfermedad común y maternidad.</w:t>
            </w:r>
          </w:p>
        </w:tc>
        <w:tc>
          <w:tcPr>
            <w:tcW w:w="2556" w:type="dxa"/>
            <w:tcBorders>
              <w:top w:val="nil"/>
              <w:left w:val="nil"/>
              <w:bottom w:val="single" w:sz="8" w:space="0" w:color="auto"/>
              <w:right w:val="single" w:sz="8" w:space="0" w:color="auto"/>
            </w:tcBorders>
            <w:shd w:val="clear" w:color="000000" w:fill="FFFFFF"/>
            <w:noWrap/>
            <w:vAlign w:val="center"/>
            <w:hideMark/>
          </w:tcPr>
          <w:p w14:paraId="63013198"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22F15AC8"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6D0E869A"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Servicio de atención médica al personal</w:t>
            </w:r>
          </w:p>
        </w:tc>
        <w:tc>
          <w:tcPr>
            <w:tcW w:w="2556" w:type="dxa"/>
            <w:tcBorders>
              <w:top w:val="nil"/>
              <w:left w:val="nil"/>
              <w:bottom w:val="single" w:sz="8" w:space="0" w:color="auto"/>
              <w:right w:val="single" w:sz="8" w:space="0" w:color="auto"/>
            </w:tcBorders>
            <w:shd w:val="clear" w:color="000000" w:fill="FFFFFF"/>
            <w:noWrap/>
            <w:vAlign w:val="center"/>
            <w:hideMark/>
          </w:tcPr>
          <w:p w14:paraId="614EB136"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2CC4888"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20346F4B"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Tramitación de pago de prestaciones laborales y derechos adquiridos.</w:t>
            </w:r>
          </w:p>
        </w:tc>
        <w:tc>
          <w:tcPr>
            <w:tcW w:w="2556" w:type="dxa"/>
            <w:tcBorders>
              <w:top w:val="nil"/>
              <w:left w:val="nil"/>
              <w:bottom w:val="single" w:sz="8" w:space="0" w:color="auto"/>
              <w:right w:val="single" w:sz="8" w:space="0" w:color="auto"/>
            </w:tcBorders>
            <w:shd w:val="clear" w:color="000000" w:fill="FFFFFF"/>
            <w:noWrap/>
            <w:vAlign w:val="center"/>
            <w:hideMark/>
          </w:tcPr>
          <w:p w14:paraId="169E5269"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038DEC10"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020760B4"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Informes trimestrales de prestaciones laborales y derechos adquiridos, pagadas y no pagadas.</w:t>
            </w:r>
          </w:p>
        </w:tc>
        <w:tc>
          <w:tcPr>
            <w:tcW w:w="2556" w:type="dxa"/>
            <w:tcBorders>
              <w:top w:val="nil"/>
              <w:left w:val="nil"/>
              <w:bottom w:val="single" w:sz="8" w:space="0" w:color="auto"/>
              <w:right w:val="single" w:sz="8" w:space="0" w:color="auto"/>
            </w:tcBorders>
            <w:shd w:val="clear" w:color="000000" w:fill="FFFFFF"/>
            <w:noWrap/>
            <w:vAlign w:val="center"/>
            <w:hideMark/>
          </w:tcPr>
          <w:p w14:paraId="70157DF4"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3FC333F2"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76A5D3F0"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Registros de novedades a la TSS</w:t>
            </w:r>
          </w:p>
        </w:tc>
        <w:tc>
          <w:tcPr>
            <w:tcW w:w="2556" w:type="dxa"/>
            <w:tcBorders>
              <w:top w:val="nil"/>
              <w:left w:val="nil"/>
              <w:bottom w:val="single" w:sz="8" w:space="0" w:color="auto"/>
              <w:right w:val="single" w:sz="8" w:space="0" w:color="auto"/>
            </w:tcBorders>
            <w:shd w:val="clear" w:color="000000" w:fill="FFFFFF"/>
            <w:noWrap/>
            <w:vAlign w:val="center"/>
            <w:hideMark/>
          </w:tcPr>
          <w:p w14:paraId="52C08BE2"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33%</w:t>
            </w:r>
          </w:p>
        </w:tc>
      </w:tr>
      <w:tr w:rsidR="006A6941" w:rsidRPr="006A6941" w14:paraId="28A00E33"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3EAC9265"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Digitalización de los expedientes del personal inactivo.</w:t>
            </w:r>
          </w:p>
        </w:tc>
        <w:tc>
          <w:tcPr>
            <w:tcW w:w="2556" w:type="dxa"/>
            <w:tcBorders>
              <w:top w:val="nil"/>
              <w:left w:val="nil"/>
              <w:bottom w:val="single" w:sz="8" w:space="0" w:color="auto"/>
              <w:right w:val="single" w:sz="8" w:space="0" w:color="auto"/>
            </w:tcBorders>
            <w:shd w:val="clear" w:color="000000" w:fill="FFFFFF"/>
            <w:noWrap/>
            <w:vAlign w:val="center"/>
            <w:hideMark/>
          </w:tcPr>
          <w:p w14:paraId="7D791177"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E7E2F9A"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1F4D79B2"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Actualización de los expedientes del personal activo.</w:t>
            </w:r>
          </w:p>
        </w:tc>
        <w:tc>
          <w:tcPr>
            <w:tcW w:w="2556" w:type="dxa"/>
            <w:tcBorders>
              <w:top w:val="nil"/>
              <w:left w:val="nil"/>
              <w:bottom w:val="single" w:sz="8" w:space="0" w:color="auto"/>
              <w:right w:val="single" w:sz="8" w:space="0" w:color="auto"/>
            </w:tcBorders>
            <w:shd w:val="clear" w:color="000000" w:fill="FFFFFF"/>
            <w:noWrap/>
            <w:vAlign w:val="center"/>
            <w:hideMark/>
          </w:tcPr>
          <w:p w14:paraId="7A4259DB"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718B73A" w14:textId="77777777" w:rsidTr="00BA6F83">
        <w:trPr>
          <w:trHeight w:val="551"/>
        </w:trPr>
        <w:tc>
          <w:tcPr>
            <w:tcW w:w="5814" w:type="dxa"/>
            <w:tcBorders>
              <w:top w:val="nil"/>
              <w:left w:val="single" w:sz="8" w:space="0" w:color="auto"/>
              <w:bottom w:val="single" w:sz="8" w:space="0" w:color="auto"/>
              <w:right w:val="single" w:sz="8" w:space="0" w:color="auto"/>
            </w:tcBorders>
            <w:vAlign w:val="center"/>
            <w:hideMark/>
          </w:tcPr>
          <w:p w14:paraId="29F50954" w14:textId="4B348BEE"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Registro y control de la asistencia del personal</w:t>
            </w:r>
          </w:p>
        </w:tc>
        <w:tc>
          <w:tcPr>
            <w:tcW w:w="2556" w:type="dxa"/>
            <w:tcBorders>
              <w:top w:val="nil"/>
              <w:left w:val="nil"/>
              <w:bottom w:val="single" w:sz="8" w:space="0" w:color="auto"/>
              <w:right w:val="single" w:sz="8" w:space="0" w:color="auto"/>
            </w:tcBorders>
            <w:shd w:val="clear" w:color="000000" w:fill="FFFFFF"/>
            <w:noWrap/>
            <w:vAlign w:val="center"/>
            <w:hideMark/>
          </w:tcPr>
          <w:p w14:paraId="3873A1F3"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70E9166B" w14:textId="77777777" w:rsidTr="00BA6F83">
        <w:trPr>
          <w:trHeight w:val="766"/>
        </w:trPr>
        <w:tc>
          <w:tcPr>
            <w:tcW w:w="5814" w:type="dxa"/>
            <w:tcBorders>
              <w:top w:val="nil"/>
              <w:left w:val="single" w:sz="8" w:space="0" w:color="auto"/>
              <w:bottom w:val="single" w:sz="8" w:space="0" w:color="auto"/>
              <w:right w:val="single" w:sz="8" w:space="0" w:color="auto"/>
            </w:tcBorders>
            <w:vAlign w:val="center"/>
            <w:hideMark/>
          </w:tcPr>
          <w:p w14:paraId="1A39FEA5" w14:textId="525D04FA"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Pago de nómina en el Sistema de Información de la Gestión Financiera (SIGEF).</w:t>
            </w:r>
          </w:p>
        </w:tc>
        <w:tc>
          <w:tcPr>
            <w:tcW w:w="2556" w:type="dxa"/>
            <w:tcBorders>
              <w:top w:val="nil"/>
              <w:left w:val="nil"/>
              <w:bottom w:val="single" w:sz="8" w:space="0" w:color="auto"/>
              <w:right w:val="single" w:sz="8" w:space="0" w:color="auto"/>
            </w:tcBorders>
            <w:shd w:val="clear" w:color="000000" w:fill="FFFFFF"/>
            <w:noWrap/>
            <w:vAlign w:val="center"/>
            <w:hideMark/>
          </w:tcPr>
          <w:p w14:paraId="3DEAB9DD"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000C0FA9" w14:textId="77777777" w:rsidTr="00BA6F83">
        <w:trPr>
          <w:trHeight w:val="459"/>
        </w:trPr>
        <w:tc>
          <w:tcPr>
            <w:tcW w:w="5814" w:type="dxa"/>
            <w:tcBorders>
              <w:top w:val="nil"/>
              <w:left w:val="single" w:sz="8" w:space="0" w:color="auto"/>
              <w:bottom w:val="single" w:sz="8" w:space="0" w:color="auto"/>
              <w:right w:val="single" w:sz="8" w:space="0" w:color="auto"/>
            </w:tcBorders>
            <w:vAlign w:val="center"/>
            <w:hideMark/>
          </w:tcPr>
          <w:p w14:paraId="390DFD7C"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Gestión de ingresos, promociones y ascensos de personal.</w:t>
            </w:r>
          </w:p>
        </w:tc>
        <w:tc>
          <w:tcPr>
            <w:tcW w:w="2556" w:type="dxa"/>
            <w:tcBorders>
              <w:top w:val="nil"/>
              <w:left w:val="nil"/>
              <w:bottom w:val="single" w:sz="8" w:space="0" w:color="auto"/>
              <w:right w:val="single" w:sz="8" w:space="0" w:color="auto"/>
            </w:tcBorders>
            <w:shd w:val="clear" w:color="000000" w:fill="FFFFFF"/>
            <w:noWrap/>
            <w:vAlign w:val="center"/>
            <w:hideMark/>
          </w:tcPr>
          <w:p w14:paraId="68C24633"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71F3E693" w14:textId="77777777" w:rsidTr="00BA6F83">
        <w:trPr>
          <w:trHeight w:val="326"/>
        </w:trPr>
        <w:tc>
          <w:tcPr>
            <w:tcW w:w="5814" w:type="dxa"/>
            <w:tcBorders>
              <w:top w:val="nil"/>
              <w:left w:val="single" w:sz="8" w:space="0" w:color="auto"/>
              <w:bottom w:val="single" w:sz="8" w:space="0" w:color="auto"/>
              <w:right w:val="single" w:sz="8" w:space="0" w:color="auto"/>
            </w:tcBorders>
            <w:vAlign w:val="center"/>
            <w:hideMark/>
          </w:tcPr>
          <w:p w14:paraId="69C186E8"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Inducción de personal de nuevo ingreso.</w:t>
            </w:r>
          </w:p>
        </w:tc>
        <w:tc>
          <w:tcPr>
            <w:tcW w:w="2556" w:type="dxa"/>
            <w:tcBorders>
              <w:top w:val="nil"/>
              <w:left w:val="nil"/>
              <w:bottom w:val="single" w:sz="8" w:space="0" w:color="auto"/>
              <w:right w:val="single" w:sz="8" w:space="0" w:color="auto"/>
            </w:tcBorders>
            <w:shd w:val="clear" w:color="000000" w:fill="FFFFFF"/>
            <w:noWrap/>
            <w:vAlign w:val="center"/>
            <w:hideMark/>
          </w:tcPr>
          <w:p w14:paraId="40615B2F"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D4E0B14" w14:textId="77777777" w:rsidTr="00BA6F83">
        <w:trPr>
          <w:trHeight w:val="326"/>
        </w:trPr>
        <w:tc>
          <w:tcPr>
            <w:tcW w:w="5814" w:type="dxa"/>
            <w:tcBorders>
              <w:top w:val="nil"/>
              <w:left w:val="single" w:sz="8" w:space="0" w:color="auto"/>
              <w:bottom w:val="single" w:sz="8" w:space="0" w:color="auto"/>
              <w:right w:val="single" w:sz="8" w:space="0" w:color="auto"/>
            </w:tcBorders>
            <w:vAlign w:val="center"/>
            <w:hideMark/>
          </w:tcPr>
          <w:p w14:paraId="34E180B3"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Monitoreo de los acuerdos de desempeño 2026.</w:t>
            </w:r>
          </w:p>
        </w:tc>
        <w:tc>
          <w:tcPr>
            <w:tcW w:w="2556" w:type="dxa"/>
            <w:tcBorders>
              <w:top w:val="nil"/>
              <w:left w:val="nil"/>
              <w:bottom w:val="single" w:sz="8" w:space="0" w:color="auto"/>
              <w:right w:val="single" w:sz="8" w:space="0" w:color="auto"/>
            </w:tcBorders>
            <w:shd w:val="clear" w:color="000000" w:fill="FFFFFF"/>
            <w:noWrap/>
            <w:vAlign w:val="center"/>
            <w:hideMark/>
          </w:tcPr>
          <w:p w14:paraId="4A133110"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0%</w:t>
            </w:r>
          </w:p>
        </w:tc>
      </w:tr>
      <w:tr w:rsidR="006A6941" w:rsidRPr="006A6941" w14:paraId="1EF85E9B" w14:textId="77777777" w:rsidTr="00BA6F83">
        <w:trPr>
          <w:trHeight w:val="326"/>
        </w:trPr>
        <w:tc>
          <w:tcPr>
            <w:tcW w:w="5814" w:type="dxa"/>
            <w:tcBorders>
              <w:top w:val="nil"/>
              <w:left w:val="single" w:sz="8" w:space="0" w:color="auto"/>
              <w:bottom w:val="single" w:sz="8" w:space="0" w:color="auto"/>
              <w:right w:val="single" w:sz="8" w:space="0" w:color="auto"/>
            </w:tcBorders>
            <w:vAlign w:val="center"/>
            <w:hideMark/>
          </w:tcPr>
          <w:p w14:paraId="160BD70F"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Ejecución del plan de capacitación anual.</w:t>
            </w:r>
          </w:p>
        </w:tc>
        <w:tc>
          <w:tcPr>
            <w:tcW w:w="2556" w:type="dxa"/>
            <w:tcBorders>
              <w:top w:val="nil"/>
              <w:left w:val="nil"/>
              <w:bottom w:val="single" w:sz="8" w:space="0" w:color="auto"/>
              <w:right w:val="single" w:sz="8" w:space="0" w:color="auto"/>
            </w:tcBorders>
            <w:shd w:val="clear" w:color="000000" w:fill="FFFFFF"/>
            <w:noWrap/>
            <w:vAlign w:val="center"/>
            <w:hideMark/>
          </w:tcPr>
          <w:p w14:paraId="5F46174A"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40C93150" w14:textId="77777777" w:rsidTr="00BA6F83">
        <w:trPr>
          <w:trHeight w:val="326"/>
        </w:trPr>
        <w:tc>
          <w:tcPr>
            <w:tcW w:w="5814" w:type="dxa"/>
            <w:tcBorders>
              <w:top w:val="nil"/>
              <w:left w:val="single" w:sz="8" w:space="0" w:color="auto"/>
              <w:bottom w:val="single" w:sz="8" w:space="0" w:color="auto"/>
              <w:right w:val="single" w:sz="8" w:space="0" w:color="auto"/>
            </w:tcBorders>
            <w:vAlign w:val="center"/>
            <w:hideMark/>
          </w:tcPr>
          <w:p w14:paraId="3952294A" w14:textId="77777777" w:rsidR="006A6941" w:rsidRPr="006A6941" w:rsidRDefault="006A6941" w:rsidP="006A6941">
            <w:pPr>
              <w:spacing w:after="0" w:line="240" w:lineRule="auto"/>
              <w:rPr>
                <w:rFonts w:ascii="Times New Roman" w:hAnsi="Times New Roman"/>
                <w:color w:val="000000"/>
                <w:sz w:val="24"/>
                <w:szCs w:val="24"/>
                <w:lang w:eastAsia="es-DO"/>
              </w:rPr>
            </w:pPr>
            <w:r w:rsidRPr="006A6941">
              <w:rPr>
                <w:rFonts w:ascii="Times New Roman" w:hAnsi="Times New Roman"/>
                <w:color w:val="000000"/>
                <w:sz w:val="24"/>
                <w:szCs w:val="24"/>
                <w:lang w:eastAsia="es-DO"/>
              </w:rPr>
              <w:t>Ejecución del Plan de Bienestar e Integración del Personal.</w:t>
            </w:r>
          </w:p>
        </w:tc>
        <w:tc>
          <w:tcPr>
            <w:tcW w:w="2556" w:type="dxa"/>
            <w:tcBorders>
              <w:top w:val="nil"/>
              <w:left w:val="nil"/>
              <w:bottom w:val="single" w:sz="8" w:space="0" w:color="auto"/>
              <w:right w:val="single" w:sz="8" w:space="0" w:color="auto"/>
            </w:tcBorders>
            <w:shd w:val="clear" w:color="000000" w:fill="FFFFFF"/>
            <w:noWrap/>
            <w:vAlign w:val="center"/>
            <w:hideMark/>
          </w:tcPr>
          <w:p w14:paraId="2006D294" w14:textId="77777777" w:rsidR="006A6941" w:rsidRPr="006A6941" w:rsidRDefault="006A6941" w:rsidP="006A6941">
            <w:pPr>
              <w:spacing w:after="0" w:line="240" w:lineRule="auto"/>
              <w:jc w:val="center"/>
              <w:rPr>
                <w:rFonts w:ascii="Times New Roman" w:hAnsi="Times New Roman"/>
                <w:color w:val="000000"/>
                <w:sz w:val="24"/>
                <w:szCs w:val="24"/>
                <w:lang w:eastAsia="es-DO"/>
              </w:rPr>
            </w:pPr>
            <w:r w:rsidRPr="006A6941">
              <w:rPr>
                <w:rFonts w:ascii="Times New Roman" w:hAnsi="Times New Roman"/>
                <w:color w:val="000000"/>
                <w:sz w:val="24"/>
                <w:szCs w:val="24"/>
                <w:lang w:eastAsia="es-DO"/>
              </w:rPr>
              <w:t>100%</w:t>
            </w:r>
          </w:p>
        </w:tc>
      </w:tr>
      <w:tr w:rsidR="006A6941" w:rsidRPr="006A6941" w14:paraId="5B22E43C" w14:textId="77777777" w:rsidTr="00BA6F83">
        <w:trPr>
          <w:trHeight w:val="316"/>
        </w:trPr>
        <w:tc>
          <w:tcPr>
            <w:tcW w:w="5814" w:type="dxa"/>
            <w:tcBorders>
              <w:top w:val="nil"/>
              <w:left w:val="single" w:sz="8" w:space="0" w:color="auto"/>
              <w:bottom w:val="single" w:sz="8" w:space="0" w:color="auto"/>
              <w:right w:val="single" w:sz="8" w:space="0" w:color="auto"/>
            </w:tcBorders>
            <w:shd w:val="clear" w:color="000000" w:fill="002060"/>
            <w:noWrap/>
            <w:vAlign w:val="center"/>
            <w:hideMark/>
          </w:tcPr>
          <w:p w14:paraId="017590B9" w14:textId="77777777" w:rsidR="006A6941" w:rsidRPr="006A6941" w:rsidRDefault="006A6941" w:rsidP="006A6941">
            <w:pPr>
              <w:spacing w:after="0" w:line="240" w:lineRule="auto"/>
              <w:rPr>
                <w:rFonts w:ascii="Times New Roman" w:hAnsi="Times New Roman"/>
                <w:b/>
                <w:bCs/>
                <w:color w:val="FFFFFF"/>
                <w:sz w:val="24"/>
                <w:szCs w:val="24"/>
                <w:lang w:eastAsia="es-DO"/>
              </w:rPr>
            </w:pPr>
            <w:r w:rsidRPr="006A6941">
              <w:rPr>
                <w:rFonts w:ascii="Times New Roman" w:hAnsi="Times New Roman"/>
                <w:b/>
                <w:bCs/>
                <w:color w:val="FFFFFF"/>
                <w:sz w:val="24"/>
                <w:szCs w:val="24"/>
                <w:lang w:eastAsia="es-DO"/>
              </w:rPr>
              <w:lastRenderedPageBreak/>
              <w:t>Ejecución de acciones en fechas conmemorativas de género</w:t>
            </w:r>
          </w:p>
        </w:tc>
        <w:tc>
          <w:tcPr>
            <w:tcW w:w="2556" w:type="dxa"/>
            <w:tcBorders>
              <w:top w:val="nil"/>
              <w:left w:val="nil"/>
              <w:bottom w:val="single" w:sz="8" w:space="0" w:color="auto"/>
              <w:right w:val="single" w:sz="8" w:space="0" w:color="auto"/>
            </w:tcBorders>
            <w:shd w:val="clear" w:color="000000" w:fill="002060"/>
            <w:noWrap/>
            <w:vAlign w:val="center"/>
            <w:hideMark/>
          </w:tcPr>
          <w:p w14:paraId="163DC7B3" w14:textId="51EB1293" w:rsidR="006A6941" w:rsidRPr="006A6941" w:rsidRDefault="006A6941" w:rsidP="006A6941">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91</w:t>
            </w:r>
            <w:r w:rsidR="00217940">
              <w:rPr>
                <w:rFonts w:ascii="Times New Roman" w:hAnsi="Times New Roman"/>
                <w:b/>
                <w:bCs/>
                <w:color w:val="FFFFFF"/>
                <w:sz w:val="24"/>
                <w:szCs w:val="24"/>
                <w:lang w:eastAsia="es-DO"/>
              </w:rPr>
              <w:t>%</w:t>
            </w:r>
          </w:p>
        </w:tc>
      </w:tr>
      <w:tr w:rsidR="006A6941" w:rsidRPr="006A6941" w14:paraId="1F92ECF0" w14:textId="77777777" w:rsidTr="00BA6F83">
        <w:trPr>
          <w:trHeight w:val="718"/>
        </w:trPr>
        <w:tc>
          <w:tcPr>
            <w:tcW w:w="8371" w:type="dxa"/>
            <w:gridSpan w:val="2"/>
            <w:tcBorders>
              <w:top w:val="single" w:sz="8" w:space="0" w:color="auto"/>
              <w:left w:val="nil"/>
              <w:bottom w:val="nil"/>
              <w:right w:val="nil"/>
            </w:tcBorders>
            <w:vAlign w:val="center"/>
            <w:hideMark/>
          </w:tcPr>
          <w:p w14:paraId="649ABEB4" w14:textId="77777777" w:rsidR="006A6941" w:rsidRPr="006A6941" w:rsidRDefault="006A6941" w:rsidP="006A6941">
            <w:pPr>
              <w:spacing w:after="0" w:line="240" w:lineRule="auto"/>
              <w:jc w:val="center"/>
              <w:rPr>
                <w:rFonts w:ascii="Times New Roman" w:hAnsi="Times New Roman"/>
                <w:b/>
                <w:bCs/>
                <w:i/>
                <w:iCs/>
                <w:color w:val="000000"/>
                <w:sz w:val="18"/>
                <w:szCs w:val="18"/>
                <w:lang w:eastAsia="es-DO"/>
              </w:rPr>
            </w:pPr>
            <w:r w:rsidRPr="006A6941">
              <w:rPr>
                <w:rFonts w:ascii="Times New Roman" w:hAnsi="Times New Roman"/>
                <w:b/>
                <w:bCs/>
                <w:i/>
                <w:iCs/>
                <w:color w:val="000000"/>
                <w:sz w:val="18"/>
                <w:szCs w:val="18"/>
                <w:lang w:eastAsia="es-DO"/>
              </w:rPr>
              <w:t>Fuente</w:t>
            </w:r>
            <w:r w:rsidRPr="006A6941">
              <w:rPr>
                <w:rFonts w:ascii="Times New Roman" w:hAnsi="Times New Roman"/>
                <w:i/>
                <w:iCs/>
                <w:color w:val="000000"/>
                <w:sz w:val="18"/>
                <w:szCs w:val="18"/>
                <w:lang w:eastAsia="es-DO"/>
              </w:rPr>
              <w:t>: elaboración propia con datos obtenidos de las ejecuciones del POA 2025 de la Dirección de Recursos Humanos.</w:t>
            </w:r>
          </w:p>
        </w:tc>
      </w:tr>
    </w:tbl>
    <w:p w14:paraId="595B4FD8" w14:textId="77777777" w:rsidR="006A6941" w:rsidRPr="006A6941" w:rsidRDefault="006A6941" w:rsidP="006A6941"/>
    <w:p w14:paraId="1F1306F5" w14:textId="6CD9A481" w:rsidR="006A6941" w:rsidRDefault="006A6941" w:rsidP="006A6941">
      <w:pPr>
        <w:pStyle w:val="Ttulo1"/>
        <w:numPr>
          <w:ilvl w:val="0"/>
          <w:numId w:val="1"/>
        </w:numPr>
        <w:spacing w:line="360" w:lineRule="auto"/>
        <w:ind w:left="0"/>
        <w:rPr>
          <w:rFonts w:ascii="Times New Roman" w:hAnsi="Times New Roman" w:cs="Times New Roman"/>
          <w:b/>
          <w:bCs/>
          <w:sz w:val="24"/>
          <w:szCs w:val="24"/>
        </w:rPr>
      </w:pPr>
      <w:bookmarkStart w:id="35" w:name="_Toc226973086"/>
      <w:r w:rsidRPr="00E87ED5">
        <w:rPr>
          <w:rFonts w:ascii="Times New Roman" w:hAnsi="Times New Roman" w:cs="Times New Roman"/>
          <w:b/>
          <w:bCs/>
          <w:sz w:val="24"/>
          <w:szCs w:val="24"/>
        </w:rPr>
        <w:t xml:space="preserve">Dirección </w:t>
      </w:r>
      <w:r w:rsidRPr="006A6941">
        <w:rPr>
          <w:rFonts w:ascii="Times New Roman" w:hAnsi="Times New Roman" w:cs="Times New Roman"/>
          <w:b/>
          <w:bCs/>
          <w:sz w:val="24"/>
          <w:szCs w:val="24"/>
        </w:rPr>
        <w:t>de Comercialización</w:t>
      </w:r>
      <w:bookmarkEnd w:id="35"/>
    </w:p>
    <w:p w14:paraId="63296FCD" w14:textId="7A28D1A9" w:rsidR="003D6A82" w:rsidRPr="003D6A82" w:rsidRDefault="003D6A82" w:rsidP="003D6A82">
      <w:pPr>
        <w:jc w:val="both"/>
        <w:rPr>
          <w:rFonts w:ascii="Times New Roman" w:hAnsi="Times New Roman"/>
          <w:sz w:val="24"/>
          <w:szCs w:val="24"/>
        </w:rPr>
      </w:pPr>
      <w:r>
        <w:rPr>
          <w:rFonts w:ascii="Times New Roman" w:hAnsi="Times New Roman"/>
          <w:sz w:val="24"/>
          <w:szCs w:val="24"/>
        </w:rPr>
        <w:t>L</w:t>
      </w:r>
      <w:r w:rsidRPr="003D6A82">
        <w:rPr>
          <w:rFonts w:ascii="Times New Roman" w:hAnsi="Times New Roman"/>
          <w:sz w:val="24"/>
          <w:szCs w:val="24"/>
        </w:rPr>
        <w:t>a Dirección de Comercialización registró un desempeño favorable en las actividades programadas para el período evaluado, evidenciado en el cumplimiento del 100 % en la adquisición de productos para el abastecimiento de los canales de comercialización, el levantamiento de información para la fijación de precios y la ejecución del programa de ventas interinstitucionales. No obstante, el indicador correspondiente a la gestión de proveedores presentó un nivel de cumplimiento de 6</w:t>
      </w:r>
      <w:r>
        <w:rPr>
          <w:rFonts w:ascii="Times New Roman" w:hAnsi="Times New Roman"/>
          <w:sz w:val="24"/>
          <w:szCs w:val="24"/>
        </w:rPr>
        <w:t>1</w:t>
      </w:r>
      <w:r w:rsidRPr="003D6A82">
        <w:rPr>
          <w:rFonts w:ascii="Times New Roman" w:hAnsi="Times New Roman"/>
          <w:sz w:val="24"/>
          <w:szCs w:val="24"/>
        </w:rPr>
        <w:t>%, debido a que en los mercados de productores de algunas localidades no se logró la incorporación de productores conforme a lo proyectado. Asimismo, en el caso del programa de ventas interinstitucionales, aunque se alcanzó la meta establecida, se presentaron variaciones en la ejecución, ya que la institución a la cual se le factura se encontraba en un proceso de cambio de nombre, lo que provocó la detención temporal de la facturación por algunos días, reflejándose posteriormente una ejecución extraordinaria en el mes de marzo. Estas situaciones evidencian la incidencia de factores operativos externos en el comportamiento de los indicadores, así como la capacidad de respuesta institucional para el cumplimiento de las metas establecidas.</w:t>
      </w:r>
    </w:p>
    <w:tbl>
      <w:tblPr>
        <w:tblW w:w="8520" w:type="dxa"/>
        <w:tblCellMar>
          <w:left w:w="70" w:type="dxa"/>
          <w:right w:w="70" w:type="dxa"/>
        </w:tblCellMar>
        <w:tblLook w:val="04A0" w:firstRow="1" w:lastRow="0" w:firstColumn="1" w:lastColumn="0" w:noHBand="0" w:noVBand="1"/>
      </w:tblPr>
      <w:tblGrid>
        <w:gridCol w:w="5918"/>
        <w:gridCol w:w="2602"/>
      </w:tblGrid>
      <w:tr w:rsidR="003D6A82" w:rsidRPr="003D6A82" w14:paraId="0C630A59" w14:textId="77777777" w:rsidTr="00BA6F83">
        <w:trPr>
          <w:trHeight w:val="742"/>
        </w:trPr>
        <w:tc>
          <w:tcPr>
            <w:tcW w:w="8520" w:type="dxa"/>
            <w:gridSpan w:val="2"/>
            <w:tcBorders>
              <w:top w:val="nil"/>
              <w:left w:val="nil"/>
              <w:bottom w:val="single" w:sz="8" w:space="0" w:color="auto"/>
              <w:right w:val="nil"/>
            </w:tcBorders>
            <w:vAlign w:val="center"/>
            <w:hideMark/>
          </w:tcPr>
          <w:p w14:paraId="7545A8A0" w14:textId="27B580B2" w:rsidR="003D6A82" w:rsidRPr="003D6A82" w:rsidRDefault="003D6A82" w:rsidP="003D6A82">
            <w:pPr>
              <w:spacing w:after="0" w:line="240" w:lineRule="auto"/>
              <w:jc w:val="center"/>
              <w:rPr>
                <w:rFonts w:ascii="Times New Roman" w:hAnsi="Times New Roman"/>
                <w:b/>
                <w:bCs/>
                <w:color w:val="000000"/>
                <w:sz w:val="24"/>
                <w:szCs w:val="24"/>
                <w:lang w:eastAsia="es-DO"/>
              </w:rPr>
            </w:pPr>
            <w:r w:rsidRPr="003D6A82">
              <w:rPr>
                <w:rFonts w:ascii="Times New Roman" w:hAnsi="Times New Roman"/>
                <w:b/>
                <w:bCs/>
                <w:color w:val="000000"/>
                <w:lang w:eastAsia="es-DO"/>
              </w:rPr>
              <w:t xml:space="preserve">Tabla </w:t>
            </w:r>
            <w:r>
              <w:rPr>
                <w:rFonts w:ascii="Times New Roman" w:hAnsi="Times New Roman"/>
                <w:b/>
                <w:bCs/>
                <w:color w:val="000000"/>
                <w:lang w:eastAsia="es-DO"/>
              </w:rPr>
              <w:t>10</w:t>
            </w:r>
            <w:r w:rsidRPr="003D6A82">
              <w:rPr>
                <w:rFonts w:ascii="Times New Roman" w:hAnsi="Times New Roman"/>
                <w:b/>
                <w:bCs/>
                <w:lang w:eastAsia="es-DO"/>
              </w:rPr>
              <w:t>.</w:t>
            </w:r>
            <w:r w:rsidRPr="003D6A82">
              <w:rPr>
                <w:rFonts w:ascii="Times New Roman" w:hAnsi="Times New Roman"/>
                <w:color w:val="000000"/>
                <w:lang w:eastAsia="es-DO"/>
              </w:rPr>
              <w:t xml:space="preserve"> Resultados de la Dirección de Comercialización, según objetivo, 2026</w:t>
            </w:r>
            <w:r w:rsidRPr="003D6A82">
              <w:rPr>
                <w:rFonts w:ascii="Times New Roman" w:hAnsi="Times New Roman"/>
                <w:color w:val="000000"/>
                <w:sz w:val="24"/>
                <w:szCs w:val="24"/>
                <w:lang w:eastAsia="es-DO"/>
              </w:rPr>
              <w:t>.</w:t>
            </w:r>
          </w:p>
        </w:tc>
      </w:tr>
      <w:tr w:rsidR="003D6A82" w:rsidRPr="003D6A82" w14:paraId="206966DF" w14:textId="77777777" w:rsidTr="00BA6F83">
        <w:trPr>
          <w:trHeight w:val="327"/>
        </w:trPr>
        <w:tc>
          <w:tcPr>
            <w:tcW w:w="852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4E90B480"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Dirección de Comercialización</w:t>
            </w:r>
          </w:p>
        </w:tc>
      </w:tr>
      <w:tr w:rsidR="003D6A82" w:rsidRPr="003D6A82" w14:paraId="43D2727F" w14:textId="77777777" w:rsidTr="00BA6F83">
        <w:trPr>
          <w:trHeight w:val="327"/>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069C40B9" w14:textId="124C9226" w:rsidR="003D6A82" w:rsidRPr="003D6A82" w:rsidRDefault="005545E1" w:rsidP="003D6A82">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602" w:type="dxa"/>
            <w:tcBorders>
              <w:top w:val="nil"/>
              <w:left w:val="nil"/>
              <w:bottom w:val="single" w:sz="8" w:space="0" w:color="auto"/>
              <w:right w:val="single" w:sz="8" w:space="0" w:color="auto"/>
            </w:tcBorders>
            <w:shd w:val="clear" w:color="000000" w:fill="002060"/>
            <w:noWrap/>
            <w:vAlign w:val="center"/>
            <w:hideMark/>
          </w:tcPr>
          <w:p w14:paraId="336BA62A"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 Cumplimiento</w:t>
            </w:r>
          </w:p>
        </w:tc>
      </w:tr>
      <w:tr w:rsidR="003D6A82" w:rsidRPr="003D6A82" w14:paraId="026D818C" w14:textId="77777777" w:rsidTr="00BA6F83">
        <w:trPr>
          <w:trHeight w:val="665"/>
        </w:trPr>
        <w:tc>
          <w:tcPr>
            <w:tcW w:w="5918" w:type="dxa"/>
            <w:tcBorders>
              <w:top w:val="nil"/>
              <w:left w:val="single" w:sz="8" w:space="0" w:color="auto"/>
              <w:bottom w:val="single" w:sz="8" w:space="0" w:color="auto"/>
              <w:right w:val="single" w:sz="8" w:space="0" w:color="auto"/>
            </w:tcBorders>
            <w:vAlign w:val="center"/>
            <w:hideMark/>
          </w:tcPr>
          <w:p w14:paraId="7B7F58C9"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 xml:space="preserve">Adquisición de productos para el abastecimiento de los canales de comercialización. </w:t>
            </w:r>
          </w:p>
        </w:tc>
        <w:tc>
          <w:tcPr>
            <w:tcW w:w="2602" w:type="dxa"/>
            <w:tcBorders>
              <w:top w:val="nil"/>
              <w:left w:val="nil"/>
              <w:bottom w:val="single" w:sz="8" w:space="0" w:color="auto"/>
              <w:right w:val="single" w:sz="8" w:space="0" w:color="auto"/>
            </w:tcBorders>
            <w:shd w:val="clear" w:color="000000" w:fill="FFFFFF"/>
            <w:noWrap/>
            <w:vAlign w:val="center"/>
            <w:hideMark/>
          </w:tcPr>
          <w:p w14:paraId="5F7E1160"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2B87FBA9" w14:textId="77777777" w:rsidTr="00BA6F83">
        <w:trPr>
          <w:trHeight w:val="676"/>
        </w:trPr>
        <w:tc>
          <w:tcPr>
            <w:tcW w:w="5918" w:type="dxa"/>
            <w:tcBorders>
              <w:top w:val="nil"/>
              <w:left w:val="single" w:sz="8" w:space="0" w:color="auto"/>
              <w:bottom w:val="single" w:sz="8" w:space="0" w:color="auto"/>
              <w:right w:val="single" w:sz="8" w:space="0" w:color="auto"/>
            </w:tcBorders>
            <w:vAlign w:val="center"/>
            <w:hideMark/>
          </w:tcPr>
          <w:p w14:paraId="3E0F7A07" w14:textId="51549685"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 xml:space="preserve"> Levantamiento de la información para la fijación de Precios.</w:t>
            </w:r>
          </w:p>
        </w:tc>
        <w:tc>
          <w:tcPr>
            <w:tcW w:w="2602" w:type="dxa"/>
            <w:tcBorders>
              <w:top w:val="nil"/>
              <w:left w:val="nil"/>
              <w:bottom w:val="single" w:sz="8" w:space="0" w:color="auto"/>
              <w:right w:val="single" w:sz="8" w:space="0" w:color="auto"/>
            </w:tcBorders>
            <w:shd w:val="clear" w:color="000000" w:fill="FFFFFF"/>
            <w:noWrap/>
            <w:vAlign w:val="center"/>
            <w:hideMark/>
          </w:tcPr>
          <w:p w14:paraId="72C931CA"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550B545F" w14:textId="77777777" w:rsidTr="00BA6F83">
        <w:trPr>
          <w:trHeight w:val="665"/>
        </w:trPr>
        <w:tc>
          <w:tcPr>
            <w:tcW w:w="5918" w:type="dxa"/>
            <w:tcBorders>
              <w:top w:val="nil"/>
              <w:left w:val="single" w:sz="8" w:space="0" w:color="auto"/>
              <w:bottom w:val="single" w:sz="8" w:space="0" w:color="auto"/>
              <w:right w:val="single" w:sz="8" w:space="0" w:color="auto"/>
            </w:tcBorders>
            <w:vAlign w:val="center"/>
            <w:hideMark/>
          </w:tcPr>
          <w:p w14:paraId="1ACE3DD1"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Programa de venta a instituciones Gubernamentales (Ventas Interinstitucionales).</w:t>
            </w:r>
          </w:p>
        </w:tc>
        <w:tc>
          <w:tcPr>
            <w:tcW w:w="2602" w:type="dxa"/>
            <w:tcBorders>
              <w:top w:val="nil"/>
              <w:left w:val="nil"/>
              <w:bottom w:val="single" w:sz="8" w:space="0" w:color="auto"/>
              <w:right w:val="single" w:sz="8" w:space="0" w:color="auto"/>
            </w:tcBorders>
            <w:shd w:val="clear" w:color="000000" w:fill="FFFFFF"/>
            <w:noWrap/>
            <w:vAlign w:val="center"/>
            <w:hideMark/>
          </w:tcPr>
          <w:p w14:paraId="75262FF9"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4303B66D" w14:textId="77777777" w:rsidTr="00BA6F83">
        <w:trPr>
          <w:trHeight w:val="633"/>
        </w:trPr>
        <w:tc>
          <w:tcPr>
            <w:tcW w:w="5918" w:type="dxa"/>
            <w:tcBorders>
              <w:top w:val="nil"/>
              <w:left w:val="single" w:sz="8" w:space="0" w:color="auto"/>
              <w:bottom w:val="single" w:sz="8" w:space="0" w:color="auto"/>
              <w:right w:val="single" w:sz="8" w:space="0" w:color="auto"/>
            </w:tcBorders>
            <w:vAlign w:val="center"/>
            <w:hideMark/>
          </w:tcPr>
          <w:p w14:paraId="2EB0B686"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Gestión de Proveedores.</w:t>
            </w:r>
          </w:p>
        </w:tc>
        <w:tc>
          <w:tcPr>
            <w:tcW w:w="2602" w:type="dxa"/>
            <w:tcBorders>
              <w:top w:val="nil"/>
              <w:left w:val="nil"/>
              <w:bottom w:val="single" w:sz="8" w:space="0" w:color="auto"/>
              <w:right w:val="single" w:sz="8" w:space="0" w:color="auto"/>
            </w:tcBorders>
            <w:shd w:val="clear" w:color="000000" w:fill="FFFFFF"/>
            <w:noWrap/>
            <w:vAlign w:val="center"/>
            <w:hideMark/>
          </w:tcPr>
          <w:p w14:paraId="4C570FBD"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61%</w:t>
            </w:r>
          </w:p>
        </w:tc>
      </w:tr>
      <w:tr w:rsidR="003D6A82" w:rsidRPr="003D6A82" w14:paraId="61933725" w14:textId="77777777" w:rsidTr="00BA6F83">
        <w:trPr>
          <w:trHeight w:val="327"/>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007A5B9A" w14:textId="77777777" w:rsidR="003D6A82" w:rsidRPr="003D6A82" w:rsidRDefault="003D6A82" w:rsidP="003D6A82">
            <w:pPr>
              <w:spacing w:after="0" w:line="240" w:lineRule="auto"/>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Porcentaje total de cumplimiento</w:t>
            </w:r>
          </w:p>
        </w:tc>
        <w:tc>
          <w:tcPr>
            <w:tcW w:w="2602" w:type="dxa"/>
            <w:tcBorders>
              <w:top w:val="nil"/>
              <w:left w:val="nil"/>
              <w:bottom w:val="single" w:sz="8" w:space="0" w:color="auto"/>
              <w:right w:val="single" w:sz="8" w:space="0" w:color="auto"/>
            </w:tcBorders>
            <w:shd w:val="clear" w:color="000000" w:fill="002060"/>
            <w:noWrap/>
            <w:vAlign w:val="center"/>
            <w:hideMark/>
          </w:tcPr>
          <w:p w14:paraId="7118DAEA"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90%</w:t>
            </w:r>
          </w:p>
        </w:tc>
      </w:tr>
      <w:tr w:rsidR="003D6A82" w:rsidRPr="003D6A82" w14:paraId="05CF43F7" w14:textId="77777777" w:rsidTr="00BA6F83">
        <w:trPr>
          <w:trHeight w:val="742"/>
        </w:trPr>
        <w:tc>
          <w:tcPr>
            <w:tcW w:w="8520" w:type="dxa"/>
            <w:gridSpan w:val="2"/>
            <w:tcBorders>
              <w:top w:val="single" w:sz="8" w:space="0" w:color="auto"/>
              <w:left w:val="nil"/>
              <w:bottom w:val="nil"/>
              <w:right w:val="nil"/>
            </w:tcBorders>
            <w:vAlign w:val="center"/>
            <w:hideMark/>
          </w:tcPr>
          <w:p w14:paraId="67B780A6" w14:textId="77777777" w:rsidR="003D6A82" w:rsidRPr="003D6A82" w:rsidRDefault="003D6A82" w:rsidP="003D6A82">
            <w:pPr>
              <w:spacing w:after="0" w:line="240" w:lineRule="auto"/>
              <w:jc w:val="center"/>
              <w:rPr>
                <w:rFonts w:ascii="Times New Roman" w:hAnsi="Times New Roman"/>
                <w:b/>
                <w:bCs/>
                <w:i/>
                <w:iCs/>
                <w:color w:val="000000"/>
                <w:sz w:val="18"/>
                <w:szCs w:val="18"/>
                <w:lang w:eastAsia="es-DO"/>
              </w:rPr>
            </w:pPr>
            <w:r w:rsidRPr="003D6A82">
              <w:rPr>
                <w:rFonts w:ascii="Times New Roman" w:hAnsi="Times New Roman"/>
                <w:b/>
                <w:bCs/>
                <w:i/>
                <w:iCs/>
                <w:color w:val="000000"/>
                <w:sz w:val="18"/>
                <w:szCs w:val="18"/>
                <w:lang w:eastAsia="es-DO"/>
              </w:rPr>
              <w:t>Fuente</w:t>
            </w:r>
            <w:r w:rsidRPr="003D6A82">
              <w:rPr>
                <w:rFonts w:ascii="Times New Roman" w:hAnsi="Times New Roman"/>
                <w:i/>
                <w:iCs/>
                <w:color w:val="000000"/>
                <w:sz w:val="18"/>
                <w:szCs w:val="18"/>
                <w:lang w:eastAsia="es-DO"/>
              </w:rPr>
              <w:t>: elaboración propia con datos obtenidos de las ejecuciones del POA 2026 de la Dirección de Comercialización.</w:t>
            </w:r>
          </w:p>
        </w:tc>
      </w:tr>
    </w:tbl>
    <w:p w14:paraId="59D04B82" w14:textId="77777777" w:rsidR="003D6A82" w:rsidRDefault="003D6A82" w:rsidP="003D6A82"/>
    <w:p w14:paraId="26771B42" w14:textId="77777777" w:rsidR="003D6A82" w:rsidRPr="003D6A82" w:rsidRDefault="003D6A82" w:rsidP="003D6A82"/>
    <w:p w14:paraId="06DADBB7" w14:textId="049D88BE" w:rsidR="003D6A82" w:rsidRDefault="003D6A82" w:rsidP="003D6A82">
      <w:pPr>
        <w:pStyle w:val="Ttulo1"/>
        <w:numPr>
          <w:ilvl w:val="0"/>
          <w:numId w:val="1"/>
        </w:numPr>
        <w:spacing w:line="360" w:lineRule="auto"/>
        <w:ind w:left="0"/>
        <w:rPr>
          <w:rFonts w:ascii="Times New Roman" w:hAnsi="Times New Roman" w:cs="Times New Roman"/>
          <w:b/>
          <w:bCs/>
          <w:sz w:val="24"/>
          <w:szCs w:val="24"/>
        </w:rPr>
      </w:pPr>
      <w:bookmarkStart w:id="36" w:name="_Toc226973087"/>
      <w:r w:rsidRPr="00E87ED5">
        <w:rPr>
          <w:rFonts w:ascii="Times New Roman" w:hAnsi="Times New Roman" w:cs="Times New Roman"/>
          <w:b/>
          <w:bCs/>
          <w:sz w:val="24"/>
          <w:szCs w:val="24"/>
        </w:rPr>
        <w:lastRenderedPageBreak/>
        <w:t xml:space="preserve">Dirección </w:t>
      </w:r>
      <w:r w:rsidRPr="003D6A82">
        <w:rPr>
          <w:rFonts w:ascii="Times New Roman" w:hAnsi="Times New Roman" w:cs="Times New Roman"/>
          <w:b/>
          <w:bCs/>
          <w:sz w:val="24"/>
          <w:szCs w:val="24"/>
        </w:rPr>
        <w:t>de Gestión de Programas</w:t>
      </w:r>
      <w:bookmarkEnd w:id="36"/>
    </w:p>
    <w:p w14:paraId="19067327" w14:textId="0926A1A7" w:rsidR="003D6A82" w:rsidRPr="003D6A82" w:rsidRDefault="003D6A82" w:rsidP="003D6A82">
      <w:pPr>
        <w:jc w:val="both"/>
        <w:rPr>
          <w:rFonts w:ascii="Times New Roman" w:hAnsi="Times New Roman"/>
          <w:sz w:val="24"/>
          <w:szCs w:val="24"/>
        </w:rPr>
      </w:pPr>
      <w:r w:rsidRPr="003D6A82">
        <w:rPr>
          <w:rFonts w:ascii="Times New Roman" w:hAnsi="Times New Roman"/>
          <w:sz w:val="24"/>
          <w:szCs w:val="24"/>
        </w:rPr>
        <w:t>La Dirección de Gestión de Programas registró un alto nivel de cumplimiento en las actividades programadas para el período evaluado, alcanzando el 100% en la ejecución de Bodegas Móviles, Mercados de Productores, Ferias Agropecuarias y Rutas Alimentarias, lo que evidencia una adecuada planificación y ejecución de los principales canales de comercialización institucional. No obstante, el programa “INESPRE en la Provincia” presentó un nivel de ejecución de 0%, debido a la avería de la patana móvil, situación que limitó la implementación de esta actividad durante el período. Esta incidencia responde a un factor operativo que afectó temporalmente la ejecución del programa, sin comprometer el desempeño general de la dirección en los demás componentes</w:t>
      </w:r>
    </w:p>
    <w:tbl>
      <w:tblPr>
        <w:tblpPr w:leftFromText="141" w:rightFromText="141" w:vertAnchor="text" w:horzAnchor="margin" w:tblpY="108"/>
        <w:tblW w:w="8520" w:type="dxa"/>
        <w:tblCellMar>
          <w:left w:w="70" w:type="dxa"/>
          <w:right w:w="70" w:type="dxa"/>
        </w:tblCellMar>
        <w:tblLook w:val="04A0" w:firstRow="1" w:lastRow="0" w:firstColumn="1" w:lastColumn="0" w:noHBand="0" w:noVBand="1"/>
      </w:tblPr>
      <w:tblGrid>
        <w:gridCol w:w="5918"/>
        <w:gridCol w:w="2602"/>
      </w:tblGrid>
      <w:tr w:rsidR="003D6A82" w:rsidRPr="003D6A82" w14:paraId="176CC9A1" w14:textId="77777777" w:rsidTr="00BA6F83">
        <w:trPr>
          <w:trHeight w:val="810"/>
        </w:trPr>
        <w:tc>
          <w:tcPr>
            <w:tcW w:w="8520" w:type="dxa"/>
            <w:gridSpan w:val="2"/>
            <w:tcBorders>
              <w:top w:val="nil"/>
              <w:left w:val="nil"/>
              <w:bottom w:val="single" w:sz="8" w:space="0" w:color="auto"/>
              <w:right w:val="nil"/>
            </w:tcBorders>
            <w:vAlign w:val="center"/>
            <w:hideMark/>
          </w:tcPr>
          <w:p w14:paraId="037AC1E3" w14:textId="77777777" w:rsidR="003D6A82" w:rsidRPr="003D6A82" w:rsidRDefault="003D6A82" w:rsidP="003D6A82">
            <w:pPr>
              <w:spacing w:after="0" w:line="240" w:lineRule="auto"/>
              <w:jc w:val="center"/>
              <w:rPr>
                <w:rFonts w:ascii="Times New Roman" w:hAnsi="Times New Roman"/>
                <w:b/>
                <w:bCs/>
                <w:color w:val="000000"/>
                <w:lang w:eastAsia="es-DO"/>
              </w:rPr>
            </w:pPr>
            <w:r w:rsidRPr="003D6A82">
              <w:rPr>
                <w:rFonts w:ascii="Times New Roman" w:hAnsi="Times New Roman"/>
                <w:b/>
                <w:bCs/>
                <w:color w:val="000000"/>
                <w:lang w:eastAsia="es-DO"/>
              </w:rPr>
              <w:t xml:space="preserve">Tabla </w:t>
            </w:r>
            <w:r>
              <w:rPr>
                <w:rFonts w:ascii="Times New Roman" w:hAnsi="Times New Roman"/>
                <w:b/>
                <w:bCs/>
                <w:color w:val="000000"/>
                <w:lang w:eastAsia="es-DO"/>
              </w:rPr>
              <w:t>11</w:t>
            </w:r>
            <w:r w:rsidRPr="003D6A82">
              <w:rPr>
                <w:rFonts w:ascii="Times New Roman" w:hAnsi="Times New Roman"/>
                <w:b/>
                <w:bCs/>
                <w:lang w:eastAsia="es-DO"/>
              </w:rPr>
              <w:t>.</w:t>
            </w:r>
            <w:r w:rsidRPr="003D6A82">
              <w:rPr>
                <w:rFonts w:ascii="Times New Roman" w:hAnsi="Times New Roman"/>
                <w:color w:val="000000"/>
                <w:lang w:eastAsia="es-DO"/>
              </w:rPr>
              <w:t xml:space="preserve"> Resultados de la Dirección de Gestión de Programas, según objetivo, 2026.</w:t>
            </w:r>
          </w:p>
        </w:tc>
      </w:tr>
      <w:tr w:rsidR="003D6A82" w:rsidRPr="003D6A82" w14:paraId="1CC4359C" w14:textId="77777777" w:rsidTr="00BA6F83">
        <w:trPr>
          <w:trHeight w:val="357"/>
        </w:trPr>
        <w:tc>
          <w:tcPr>
            <w:tcW w:w="852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437FE6C0"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Dirección de Gestión de Programas</w:t>
            </w:r>
          </w:p>
        </w:tc>
      </w:tr>
      <w:tr w:rsidR="003D6A82" w:rsidRPr="003D6A82" w14:paraId="31FA9D3F" w14:textId="77777777" w:rsidTr="00BA6F83">
        <w:trPr>
          <w:trHeight w:val="357"/>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2E495DB1" w14:textId="7E317FE5" w:rsidR="003D6A82" w:rsidRPr="003D6A82" w:rsidRDefault="005545E1" w:rsidP="003D6A82">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602" w:type="dxa"/>
            <w:tcBorders>
              <w:top w:val="nil"/>
              <w:left w:val="nil"/>
              <w:bottom w:val="single" w:sz="8" w:space="0" w:color="auto"/>
              <w:right w:val="single" w:sz="8" w:space="0" w:color="auto"/>
            </w:tcBorders>
            <w:shd w:val="clear" w:color="000000" w:fill="002060"/>
            <w:noWrap/>
            <w:vAlign w:val="center"/>
            <w:hideMark/>
          </w:tcPr>
          <w:p w14:paraId="4F9C15BC"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 Cumplimiento</w:t>
            </w:r>
          </w:p>
        </w:tc>
      </w:tr>
      <w:tr w:rsidR="003D6A82" w:rsidRPr="003D6A82" w14:paraId="55257C98" w14:textId="77777777" w:rsidTr="00BA6F83">
        <w:trPr>
          <w:trHeight w:val="368"/>
        </w:trPr>
        <w:tc>
          <w:tcPr>
            <w:tcW w:w="5918" w:type="dxa"/>
            <w:tcBorders>
              <w:top w:val="nil"/>
              <w:left w:val="single" w:sz="8" w:space="0" w:color="auto"/>
              <w:bottom w:val="single" w:sz="8" w:space="0" w:color="auto"/>
              <w:right w:val="single" w:sz="8" w:space="0" w:color="auto"/>
            </w:tcBorders>
            <w:vAlign w:val="center"/>
            <w:hideMark/>
          </w:tcPr>
          <w:p w14:paraId="766F4C74"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Ejecución de Bodegas Móviles</w:t>
            </w:r>
          </w:p>
        </w:tc>
        <w:tc>
          <w:tcPr>
            <w:tcW w:w="2602" w:type="dxa"/>
            <w:tcBorders>
              <w:top w:val="nil"/>
              <w:left w:val="nil"/>
              <w:bottom w:val="single" w:sz="8" w:space="0" w:color="auto"/>
              <w:right w:val="single" w:sz="8" w:space="0" w:color="auto"/>
            </w:tcBorders>
            <w:noWrap/>
            <w:vAlign w:val="center"/>
            <w:hideMark/>
          </w:tcPr>
          <w:p w14:paraId="26D504CA"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7AE2067A" w14:textId="77777777" w:rsidTr="00BA6F83">
        <w:trPr>
          <w:trHeight w:val="368"/>
        </w:trPr>
        <w:tc>
          <w:tcPr>
            <w:tcW w:w="5918" w:type="dxa"/>
            <w:tcBorders>
              <w:top w:val="nil"/>
              <w:left w:val="single" w:sz="8" w:space="0" w:color="auto"/>
              <w:bottom w:val="single" w:sz="8" w:space="0" w:color="auto"/>
              <w:right w:val="single" w:sz="8" w:space="0" w:color="auto"/>
            </w:tcBorders>
            <w:vAlign w:val="center"/>
            <w:hideMark/>
          </w:tcPr>
          <w:p w14:paraId="1A29AA70"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Ejecución de Mercados de Productores</w:t>
            </w:r>
          </w:p>
        </w:tc>
        <w:tc>
          <w:tcPr>
            <w:tcW w:w="2602" w:type="dxa"/>
            <w:tcBorders>
              <w:top w:val="nil"/>
              <w:left w:val="nil"/>
              <w:bottom w:val="single" w:sz="8" w:space="0" w:color="auto"/>
              <w:right w:val="single" w:sz="8" w:space="0" w:color="auto"/>
            </w:tcBorders>
            <w:noWrap/>
            <w:vAlign w:val="center"/>
            <w:hideMark/>
          </w:tcPr>
          <w:p w14:paraId="4B7C4EA6"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3A41EA0A" w14:textId="77777777" w:rsidTr="00BA6F83">
        <w:trPr>
          <w:trHeight w:val="368"/>
        </w:trPr>
        <w:tc>
          <w:tcPr>
            <w:tcW w:w="5918" w:type="dxa"/>
            <w:tcBorders>
              <w:top w:val="nil"/>
              <w:left w:val="single" w:sz="8" w:space="0" w:color="auto"/>
              <w:bottom w:val="single" w:sz="8" w:space="0" w:color="auto"/>
              <w:right w:val="single" w:sz="8" w:space="0" w:color="auto"/>
            </w:tcBorders>
            <w:vAlign w:val="center"/>
            <w:hideMark/>
          </w:tcPr>
          <w:p w14:paraId="4C1F5DCC"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Ejecución de Ferias Agropecuarias</w:t>
            </w:r>
          </w:p>
        </w:tc>
        <w:tc>
          <w:tcPr>
            <w:tcW w:w="2602" w:type="dxa"/>
            <w:tcBorders>
              <w:top w:val="nil"/>
              <w:left w:val="nil"/>
              <w:bottom w:val="single" w:sz="8" w:space="0" w:color="auto"/>
              <w:right w:val="single" w:sz="8" w:space="0" w:color="auto"/>
            </w:tcBorders>
            <w:noWrap/>
            <w:vAlign w:val="center"/>
            <w:hideMark/>
          </w:tcPr>
          <w:p w14:paraId="6A5E2F1A"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3969AF4E" w14:textId="77777777" w:rsidTr="00BA6F83">
        <w:trPr>
          <w:trHeight w:val="368"/>
        </w:trPr>
        <w:tc>
          <w:tcPr>
            <w:tcW w:w="5918" w:type="dxa"/>
            <w:tcBorders>
              <w:top w:val="nil"/>
              <w:left w:val="single" w:sz="8" w:space="0" w:color="auto"/>
              <w:bottom w:val="single" w:sz="8" w:space="0" w:color="auto"/>
              <w:right w:val="single" w:sz="8" w:space="0" w:color="auto"/>
            </w:tcBorders>
            <w:vAlign w:val="center"/>
            <w:hideMark/>
          </w:tcPr>
          <w:p w14:paraId="0DBC4333"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Ejecución de Rutas Alimentarias</w:t>
            </w:r>
          </w:p>
        </w:tc>
        <w:tc>
          <w:tcPr>
            <w:tcW w:w="2602" w:type="dxa"/>
            <w:tcBorders>
              <w:top w:val="nil"/>
              <w:left w:val="nil"/>
              <w:bottom w:val="single" w:sz="8" w:space="0" w:color="auto"/>
              <w:right w:val="single" w:sz="8" w:space="0" w:color="auto"/>
            </w:tcBorders>
            <w:noWrap/>
            <w:vAlign w:val="center"/>
            <w:hideMark/>
          </w:tcPr>
          <w:p w14:paraId="0A6AAC89"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100%</w:t>
            </w:r>
          </w:p>
        </w:tc>
      </w:tr>
      <w:tr w:rsidR="003D6A82" w:rsidRPr="003D6A82" w14:paraId="2BBAD257" w14:textId="77777777" w:rsidTr="00BA6F83">
        <w:trPr>
          <w:trHeight w:val="368"/>
        </w:trPr>
        <w:tc>
          <w:tcPr>
            <w:tcW w:w="5918" w:type="dxa"/>
            <w:tcBorders>
              <w:top w:val="nil"/>
              <w:left w:val="single" w:sz="8" w:space="0" w:color="auto"/>
              <w:bottom w:val="single" w:sz="8" w:space="0" w:color="auto"/>
              <w:right w:val="single" w:sz="8" w:space="0" w:color="auto"/>
            </w:tcBorders>
            <w:vAlign w:val="center"/>
            <w:hideMark/>
          </w:tcPr>
          <w:p w14:paraId="26770B45" w14:textId="77777777" w:rsidR="003D6A82" w:rsidRPr="003D6A82" w:rsidRDefault="003D6A82" w:rsidP="003D6A82">
            <w:pPr>
              <w:spacing w:after="0" w:line="240" w:lineRule="auto"/>
              <w:rPr>
                <w:rFonts w:ascii="Times New Roman" w:hAnsi="Times New Roman"/>
                <w:color w:val="000000"/>
                <w:sz w:val="24"/>
                <w:szCs w:val="24"/>
                <w:lang w:eastAsia="es-DO"/>
              </w:rPr>
            </w:pPr>
            <w:r w:rsidRPr="003D6A82">
              <w:rPr>
                <w:rFonts w:ascii="Times New Roman" w:hAnsi="Times New Roman"/>
                <w:color w:val="000000"/>
                <w:sz w:val="24"/>
                <w:szCs w:val="24"/>
                <w:lang w:eastAsia="es-DO"/>
              </w:rPr>
              <w:t>Ejecución del Programa "INESPRE en la Provincia"</w:t>
            </w:r>
          </w:p>
        </w:tc>
        <w:tc>
          <w:tcPr>
            <w:tcW w:w="2602" w:type="dxa"/>
            <w:tcBorders>
              <w:top w:val="nil"/>
              <w:left w:val="nil"/>
              <w:bottom w:val="single" w:sz="8" w:space="0" w:color="auto"/>
              <w:right w:val="single" w:sz="8" w:space="0" w:color="auto"/>
            </w:tcBorders>
            <w:noWrap/>
            <w:vAlign w:val="center"/>
            <w:hideMark/>
          </w:tcPr>
          <w:p w14:paraId="3FF817EE" w14:textId="77777777" w:rsidR="003D6A82" w:rsidRPr="003D6A82" w:rsidRDefault="003D6A82" w:rsidP="003D6A82">
            <w:pPr>
              <w:spacing w:after="0" w:line="240" w:lineRule="auto"/>
              <w:jc w:val="center"/>
              <w:rPr>
                <w:rFonts w:ascii="Times New Roman" w:hAnsi="Times New Roman"/>
                <w:color w:val="000000"/>
                <w:sz w:val="24"/>
                <w:szCs w:val="24"/>
                <w:lang w:eastAsia="es-DO"/>
              </w:rPr>
            </w:pPr>
            <w:r w:rsidRPr="003D6A82">
              <w:rPr>
                <w:rFonts w:ascii="Times New Roman" w:hAnsi="Times New Roman"/>
                <w:color w:val="000000"/>
                <w:sz w:val="24"/>
                <w:szCs w:val="24"/>
                <w:lang w:eastAsia="es-DO"/>
              </w:rPr>
              <w:t>0%</w:t>
            </w:r>
          </w:p>
        </w:tc>
      </w:tr>
      <w:tr w:rsidR="003D6A82" w:rsidRPr="003D6A82" w14:paraId="1D2C8D07" w14:textId="77777777" w:rsidTr="00BA6F83">
        <w:trPr>
          <w:trHeight w:val="357"/>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39241505" w14:textId="77777777" w:rsidR="003D6A82" w:rsidRPr="003D6A82" w:rsidRDefault="003D6A82" w:rsidP="003D6A82">
            <w:pPr>
              <w:spacing w:after="0" w:line="240" w:lineRule="auto"/>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Porcentaje total de cumplimiento</w:t>
            </w:r>
          </w:p>
        </w:tc>
        <w:tc>
          <w:tcPr>
            <w:tcW w:w="2602" w:type="dxa"/>
            <w:tcBorders>
              <w:top w:val="nil"/>
              <w:left w:val="nil"/>
              <w:bottom w:val="single" w:sz="8" w:space="0" w:color="auto"/>
              <w:right w:val="single" w:sz="8" w:space="0" w:color="auto"/>
            </w:tcBorders>
            <w:shd w:val="clear" w:color="000000" w:fill="002060"/>
            <w:noWrap/>
            <w:vAlign w:val="center"/>
            <w:hideMark/>
          </w:tcPr>
          <w:p w14:paraId="38472A3F" w14:textId="77777777" w:rsidR="003D6A82" w:rsidRPr="003D6A82" w:rsidRDefault="003D6A82" w:rsidP="003D6A82">
            <w:pPr>
              <w:spacing w:after="0" w:line="240" w:lineRule="auto"/>
              <w:jc w:val="center"/>
              <w:rPr>
                <w:rFonts w:ascii="Times New Roman" w:hAnsi="Times New Roman"/>
                <w:b/>
                <w:bCs/>
                <w:color w:val="FFFFFF"/>
                <w:sz w:val="24"/>
                <w:szCs w:val="24"/>
                <w:lang w:eastAsia="es-DO"/>
              </w:rPr>
            </w:pPr>
            <w:r w:rsidRPr="003D6A82">
              <w:rPr>
                <w:rFonts w:ascii="Times New Roman" w:hAnsi="Times New Roman"/>
                <w:b/>
                <w:bCs/>
                <w:color w:val="FFFFFF"/>
                <w:sz w:val="24"/>
                <w:szCs w:val="24"/>
                <w:lang w:eastAsia="es-DO"/>
              </w:rPr>
              <w:t>80%</w:t>
            </w:r>
          </w:p>
        </w:tc>
      </w:tr>
      <w:tr w:rsidR="003D6A82" w:rsidRPr="003D6A82" w14:paraId="7B940479" w14:textId="77777777" w:rsidTr="00BA6F83">
        <w:trPr>
          <w:trHeight w:val="209"/>
        </w:trPr>
        <w:tc>
          <w:tcPr>
            <w:tcW w:w="8520" w:type="dxa"/>
            <w:gridSpan w:val="2"/>
            <w:tcBorders>
              <w:top w:val="single" w:sz="8" w:space="0" w:color="auto"/>
              <w:left w:val="nil"/>
              <w:bottom w:val="nil"/>
              <w:right w:val="nil"/>
            </w:tcBorders>
            <w:vAlign w:val="center"/>
            <w:hideMark/>
          </w:tcPr>
          <w:p w14:paraId="512B0CB9" w14:textId="77777777" w:rsidR="003D6A82" w:rsidRPr="003D6A82" w:rsidRDefault="003D6A82" w:rsidP="003D6A82">
            <w:pPr>
              <w:spacing w:after="0" w:line="240" w:lineRule="auto"/>
              <w:jc w:val="center"/>
              <w:rPr>
                <w:rFonts w:ascii="Times New Roman" w:hAnsi="Times New Roman"/>
                <w:b/>
                <w:bCs/>
                <w:i/>
                <w:iCs/>
                <w:color w:val="000000"/>
                <w:sz w:val="18"/>
                <w:szCs w:val="18"/>
                <w:lang w:eastAsia="es-DO"/>
              </w:rPr>
            </w:pPr>
            <w:r w:rsidRPr="003D6A82">
              <w:rPr>
                <w:rFonts w:ascii="Times New Roman" w:hAnsi="Times New Roman"/>
                <w:b/>
                <w:bCs/>
                <w:i/>
                <w:iCs/>
                <w:color w:val="000000"/>
                <w:sz w:val="18"/>
                <w:szCs w:val="18"/>
                <w:lang w:eastAsia="es-DO"/>
              </w:rPr>
              <w:t>Fuente</w:t>
            </w:r>
            <w:r w:rsidRPr="003D6A82">
              <w:rPr>
                <w:rFonts w:ascii="Times New Roman" w:hAnsi="Times New Roman"/>
                <w:i/>
                <w:iCs/>
                <w:color w:val="000000"/>
                <w:sz w:val="18"/>
                <w:szCs w:val="18"/>
                <w:lang w:eastAsia="es-DO"/>
              </w:rPr>
              <w:t>: elaboración propia con datos obtenidos de las ejecuciones del POA 2026 de la Dirección de Gestión de Programas.</w:t>
            </w:r>
          </w:p>
        </w:tc>
      </w:tr>
    </w:tbl>
    <w:p w14:paraId="41CDB5B4" w14:textId="77777777" w:rsidR="003D6A82" w:rsidRDefault="003D6A82" w:rsidP="003D6A82"/>
    <w:p w14:paraId="19928DB7" w14:textId="205C6CBF" w:rsidR="00C74658" w:rsidRDefault="00C74658" w:rsidP="00C74658">
      <w:pPr>
        <w:pStyle w:val="Ttulo1"/>
        <w:numPr>
          <w:ilvl w:val="0"/>
          <w:numId w:val="1"/>
        </w:numPr>
        <w:spacing w:line="360" w:lineRule="auto"/>
        <w:ind w:left="0"/>
        <w:rPr>
          <w:rFonts w:ascii="Times New Roman" w:hAnsi="Times New Roman" w:cs="Times New Roman"/>
          <w:b/>
          <w:bCs/>
          <w:sz w:val="24"/>
          <w:szCs w:val="24"/>
        </w:rPr>
      </w:pPr>
      <w:r w:rsidRPr="003D6A82">
        <w:rPr>
          <w:rFonts w:ascii="Times New Roman" w:hAnsi="Times New Roman" w:cs="Times New Roman"/>
          <w:b/>
          <w:bCs/>
          <w:sz w:val="24"/>
          <w:szCs w:val="24"/>
        </w:rPr>
        <w:t xml:space="preserve"> </w:t>
      </w:r>
      <w:bookmarkStart w:id="37" w:name="_Toc226973088"/>
      <w:r w:rsidRPr="00C74658">
        <w:rPr>
          <w:rFonts w:ascii="Times New Roman" w:hAnsi="Times New Roman" w:cs="Times New Roman"/>
          <w:b/>
          <w:bCs/>
          <w:sz w:val="24"/>
          <w:szCs w:val="24"/>
        </w:rPr>
        <w:t>Departamento de Tecnologías de la Información y Comunicación</w:t>
      </w:r>
      <w:bookmarkEnd w:id="37"/>
    </w:p>
    <w:p w14:paraId="2B9B3DB9" w14:textId="1FF1B13F" w:rsidR="00C74658" w:rsidRPr="00C74658" w:rsidRDefault="00C74658" w:rsidP="00C74658">
      <w:pPr>
        <w:jc w:val="both"/>
        <w:rPr>
          <w:rFonts w:ascii="Times New Roman" w:hAnsi="Times New Roman"/>
          <w:sz w:val="24"/>
          <w:szCs w:val="24"/>
        </w:rPr>
      </w:pPr>
      <w:r w:rsidRPr="00C74658">
        <w:rPr>
          <w:rFonts w:ascii="Times New Roman" w:hAnsi="Times New Roman"/>
          <w:sz w:val="24"/>
          <w:szCs w:val="24"/>
        </w:rPr>
        <w:t>El Departamento de Tecnologías de la Información y Comunicación registró un desempeño favorable en las actividades programadas para el período evaluado, alcanzando el 100% en la ejecución del nuevo procedimiento de decomiso y entrada de conduce, así como en el mantenimiento y mejoras de las aplicaciones y la página web institucional, evidenciando una gestión orientada al fortalecimiento de los sistemas tecnológicos. No obstante, el mantenimiento del UPS central en la sede principal presentó un nivel de ejecución de 0%, debido a que esta actividad depende del proceso de contratación del servicio requerido, el cual se encuentra en curso en el área de compras. Una vez concluido dicho proceso, se procederá con la ejecución del mantenimiento programado, lo que permitirá restablecer el cumplimiento de este producto en los períodos subsiguientes.</w:t>
      </w:r>
    </w:p>
    <w:p w14:paraId="17B49C2D" w14:textId="77777777" w:rsidR="00C74658" w:rsidRPr="00C74658" w:rsidRDefault="00C74658" w:rsidP="00C74658"/>
    <w:tbl>
      <w:tblPr>
        <w:tblW w:w="8890" w:type="dxa"/>
        <w:tblInd w:w="-399" w:type="dxa"/>
        <w:tblCellMar>
          <w:left w:w="70" w:type="dxa"/>
          <w:right w:w="70" w:type="dxa"/>
        </w:tblCellMar>
        <w:tblLook w:val="04A0" w:firstRow="1" w:lastRow="0" w:firstColumn="1" w:lastColumn="0" w:noHBand="0" w:noVBand="1"/>
      </w:tblPr>
      <w:tblGrid>
        <w:gridCol w:w="6175"/>
        <w:gridCol w:w="2715"/>
      </w:tblGrid>
      <w:tr w:rsidR="00C74658" w:rsidRPr="00C74658" w14:paraId="1B1920ED" w14:textId="77777777" w:rsidTr="00BA6F83">
        <w:trPr>
          <w:trHeight w:val="741"/>
        </w:trPr>
        <w:tc>
          <w:tcPr>
            <w:tcW w:w="8890" w:type="dxa"/>
            <w:gridSpan w:val="2"/>
            <w:tcBorders>
              <w:top w:val="nil"/>
              <w:left w:val="nil"/>
              <w:bottom w:val="single" w:sz="8" w:space="0" w:color="auto"/>
              <w:right w:val="nil"/>
            </w:tcBorders>
            <w:vAlign w:val="center"/>
            <w:hideMark/>
          </w:tcPr>
          <w:p w14:paraId="2E054447" w14:textId="4B913C78" w:rsidR="00C74658" w:rsidRPr="00C74658" w:rsidRDefault="00C74658" w:rsidP="00C74658">
            <w:pPr>
              <w:spacing w:after="0" w:line="240" w:lineRule="auto"/>
              <w:jc w:val="center"/>
              <w:rPr>
                <w:rFonts w:ascii="Times New Roman" w:hAnsi="Times New Roman"/>
                <w:b/>
                <w:bCs/>
                <w:color w:val="000000"/>
                <w:lang w:eastAsia="es-DO"/>
              </w:rPr>
            </w:pPr>
            <w:r w:rsidRPr="00C74658">
              <w:rPr>
                <w:rFonts w:ascii="Times New Roman" w:hAnsi="Times New Roman"/>
                <w:b/>
                <w:bCs/>
                <w:color w:val="000000"/>
                <w:lang w:eastAsia="es-DO"/>
              </w:rPr>
              <w:lastRenderedPageBreak/>
              <w:t>Tabla 12</w:t>
            </w:r>
            <w:r w:rsidRPr="00C74658">
              <w:rPr>
                <w:rFonts w:ascii="Times New Roman" w:hAnsi="Times New Roman"/>
                <w:b/>
                <w:bCs/>
                <w:lang w:eastAsia="es-DO"/>
              </w:rPr>
              <w:t>.</w:t>
            </w:r>
            <w:r w:rsidRPr="00C74658">
              <w:rPr>
                <w:rFonts w:ascii="Times New Roman" w:hAnsi="Times New Roman"/>
                <w:color w:val="000000"/>
                <w:lang w:eastAsia="es-DO"/>
              </w:rPr>
              <w:t xml:space="preserve"> Resultados del Departamento de Tecnologías de la Información y Comunicación, según objetivo, 2026.</w:t>
            </w:r>
          </w:p>
        </w:tc>
      </w:tr>
      <w:tr w:rsidR="00C74658" w:rsidRPr="00C74658" w14:paraId="58C8E173" w14:textId="77777777" w:rsidTr="00BA6F83">
        <w:trPr>
          <w:trHeight w:val="327"/>
        </w:trPr>
        <w:tc>
          <w:tcPr>
            <w:tcW w:w="889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2E10E25D" w14:textId="77777777" w:rsidR="00C74658" w:rsidRPr="00C74658" w:rsidRDefault="00C74658" w:rsidP="00C74658">
            <w:pPr>
              <w:spacing w:after="0" w:line="240" w:lineRule="auto"/>
              <w:jc w:val="center"/>
              <w:rPr>
                <w:rFonts w:ascii="Times New Roman" w:hAnsi="Times New Roman"/>
                <w:b/>
                <w:bCs/>
                <w:color w:val="FFFFFF"/>
                <w:sz w:val="24"/>
                <w:szCs w:val="24"/>
                <w:lang w:eastAsia="es-DO"/>
              </w:rPr>
            </w:pPr>
            <w:r w:rsidRPr="00C74658">
              <w:rPr>
                <w:rFonts w:ascii="Times New Roman" w:hAnsi="Times New Roman"/>
                <w:b/>
                <w:bCs/>
                <w:color w:val="FFFFFF"/>
                <w:sz w:val="24"/>
                <w:szCs w:val="24"/>
                <w:lang w:eastAsia="es-DO"/>
              </w:rPr>
              <w:t>Departamento de Tecnologías de la Información y Comunicación</w:t>
            </w:r>
          </w:p>
        </w:tc>
      </w:tr>
      <w:tr w:rsidR="00C74658" w:rsidRPr="00C74658" w14:paraId="412997D8" w14:textId="77777777" w:rsidTr="00BA6F83">
        <w:trPr>
          <w:trHeight w:val="327"/>
        </w:trPr>
        <w:tc>
          <w:tcPr>
            <w:tcW w:w="6175" w:type="dxa"/>
            <w:tcBorders>
              <w:top w:val="nil"/>
              <w:left w:val="single" w:sz="8" w:space="0" w:color="auto"/>
              <w:bottom w:val="single" w:sz="8" w:space="0" w:color="auto"/>
              <w:right w:val="single" w:sz="8" w:space="0" w:color="auto"/>
            </w:tcBorders>
            <w:shd w:val="clear" w:color="000000" w:fill="002060"/>
            <w:noWrap/>
            <w:vAlign w:val="center"/>
            <w:hideMark/>
          </w:tcPr>
          <w:p w14:paraId="2D7DE68C" w14:textId="62E94D50" w:rsidR="00C74658" w:rsidRPr="00C74658" w:rsidRDefault="005545E1" w:rsidP="00C74658">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714" w:type="dxa"/>
            <w:tcBorders>
              <w:top w:val="nil"/>
              <w:left w:val="nil"/>
              <w:bottom w:val="single" w:sz="8" w:space="0" w:color="auto"/>
              <w:right w:val="single" w:sz="8" w:space="0" w:color="auto"/>
            </w:tcBorders>
            <w:shd w:val="clear" w:color="000000" w:fill="002060"/>
            <w:noWrap/>
            <w:vAlign w:val="center"/>
            <w:hideMark/>
          </w:tcPr>
          <w:p w14:paraId="520266AB" w14:textId="77777777" w:rsidR="00C74658" w:rsidRPr="00C74658" w:rsidRDefault="00C74658" w:rsidP="00C74658">
            <w:pPr>
              <w:spacing w:after="0" w:line="240" w:lineRule="auto"/>
              <w:jc w:val="center"/>
              <w:rPr>
                <w:rFonts w:ascii="Times New Roman" w:hAnsi="Times New Roman"/>
                <w:b/>
                <w:bCs/>
                <w:color w:val="FFFFFF"/>
                <w:sz w:val="24"/>
                <w:szCs w:val="24"/>
                <w:lang w:eastAsia="es-DO"/>
              </w:rPr>
            </w:pPr>
            <w:r w:rsidRPr="00C74658">
              <w:rPr>
                <w:rFonts w:ascii="Times New Roman" w:hAnsi="Times New Roman"/>
                <w:b/>
                <w:bCs/>
                <w:color w:val="FFFFFF"/>
                <w:sz w:val="24"/>
                <w:szCs w:val="24"/>
                <w:lang w:eastAsia="es-DO"/>
              </w:rPr>
              <w:t>% Cumplimiento</w:t>
            </w:r>
          </w:p>
        </w:tc>
      </w:tr>
      <w:tr w:rsidR="00C74658" w:rsidRPr="00C74658" w14:paraId="61297E77" w14:textId="77777777" w:rsidTr="00BA6F83">
        <w:trPr>
          <w:trHeight w:val="664"/>
        </w:trPr>
        <w:tc>
          <w:tcPr>
            <w:tcW w:w="6175" w:type="dxa"/>
            <w:tcBorders>
              <w:top w:val="nil"/>
              <w:left w:val="single" w:sz="8" w:space="0" w:color="auto"/>
              <w:bottom w:val="single" w:sz="8" w:space="0" w:color="auto"/>
              <w:right w:val="single" w:sz="8" w:space="0" w:color="auto"/>
            </w:tcBorders>
            <w:vAlign w:val="center"/>
            <w:hideMark/>
          </w:tcPr>
          <w:p w14:paraId="73B31E9E" w14:textId="77777777" w:rsidR="00C74658" w:rsidRPr="00C74658" w:rsidRDefault="00C74658" w:rsidP="00C74658">
            <w:pPr>
              <w:spacing w:after="0" w:line="240" w:lineRule="auto"/>
              <w:rPr>
                <w:rFonts w:ascii="Times New Roman" w:hAnsi="Times New Roman"/>
                <w:color w:val="000000"/>
                <w:sz w:val="24"/>
                <w:szCs w:val="24"/>
                <w:lang w:eastAsia="es-DO"/>
              </w:rPr>
            </w:pPr>
            <w:r w:rsidRPr="00C74658">
              <w:rPr>
                <w:rFonts w:ascii="Times New Roman" w:hAnsi="Times New Roman"/>
                <w:color w:val="000000"/>
                <w:sz w:val="24"/>
                <w:szCs w:val="24"/>
                <w:lang w:eastAsia="es-DO"/>
              </w:rPr>
              <w:t>Ejecución del nuevo procedimiento de decomiso y entrada de conduce.</w:t>
            </w:r>
          </w:p>
        </w:tc>
        <w:tc>
          <w:tcPr>
            <w:tcW w:w="2714" w:type="dxa"/>
            <w:tcBorders>
              <w:top w:val="nil"/>
              <w:left w:val="nil"/>
              <w:bottom w:val="single" w:sz="8" w:space="0" w:color="auto"/>
              <w:right w:val="single" w:sz="8" w:space="0" w:color="auto"/>
            </w:tcBorders>
            <w:shd w:val="clear" w:color="000000" w:fill="FFFFFF"/>
            <w:noWrap/>
            <w:vAlign w:val="center"/>
            <w:hideMark/>
          </w:tcPr>
          <w:p w14:paraId="39AA9BD8" w14:textId="77777777" w:rsidR="00C74658" w:rsidRPr="00C74658" w:rsidRDefault="00C74658" w:rsidP="00C74658">
            <w:pPr>
              <w:spacing w:after="0" w:line="240" w:lineRule="auto"/>
              <w:jc w:val="center"/>
              <w:rPr>
                <w:rFonts w:ascii="Times New Roman" w:hAnsi="Times New Roman"/>
                <w:color w:val="000000"/>
                <w:sz w:val="24"/>
                <w:szCs w:val="24"/>
                <w:lang w:eastAsia="es-DO"/>
              </w:rPr>
            </w:pPr>
            <w:r w:rsidRPr="00C74658">
              <w:rPr>
                <w:rFonts w:ascii="Times New Roman" w:hAnsi="Times New Roman"/>
                <w:color w:val="000000"/>
                <w:sz w:val="24"/>
                <w:szCs w:val="24"/>
                <w:lang w:eastAsia="es-DO"/>
              </w:rPr>
              <w:t>100%</w:t>
            </w:r>
          </w:p>
        </w:tc>
      </w:tr>
      <w:tr w:rsidR="00C74658" w:rsidRPr="00C74658" w14:paraId="62A2A037" w14:textId="77777777" w:rsidTr="00BA6F83">
        <w:trPr>
          <w:trHeight w:val="651"/>
        </w:trPr>
        <w:tc>
          <w:tcPr>
            <w:tcW w:w="6175" w:type="dxa"/>
            <w:tcBorders>
              <w:top w:val="nil"/>
              <w:left w:val="single" w:sz="8" w:space="0" w:color="auto"/>
              <w:bottom w:val="single" w:sz="8" w:space="0" w:color="auto"/>
              <w:right w:val="single" w:sz="8" w:space="0" w:color="auto"/>
            </w:tcBorders>
            <w:vAlign w:val="center"/>
            <w:hideMark/>
          </w:tcPr>
          <w:p w14:paraId="0FE582A3" w14:textId="77777777" w:rsidR="00C74658" w:rsidRPr="00C74658" w:rsidRDefault="00C74658" w:rsidP="00C74658">
            <w:pPr>
              <w:spacing w:after="0" w:line="240" w:lineRule="auto"/>
              <w:rPr>
                <w:rFonts w:ascii="Times New Roman" w:hAnsi="Times New Roman"/>
                <w:color w:val="000000"/>
                <w:sz w:val="24"/>
                <w:szCs w:val="24"/>
                <w:lang w:eastAsia="es-DO"/>
              </w:rPr>
            </w:pPr>
            <w:r w:rsidRPr="00C74658">
              <w:rPr>
                <w:rFonts w:ascii="Times New Roman" w:hAnsi="Times New Roman"/>
                <w:color w:val="000000"/>
                <w:sz w:val="24"/>
                <w:szCs w:val="24"/>
                <w:lang w:eastAsia="es-DO"/>
              </w:rPr>
              <w:t xml:space="preserve">Mantenimiento y mejoras de aplicaciones y página web institucional </w:t>
            </w:r>
          </w:p>
        </w:tc>
        <w:tc>
          <w:tcPr>
            <w:tcW w:w="2714" w:type="dxa"/>
            <w:tcBorders>
              <w:top w:val="nil"/>
              <w:left w:val="nil"/>
              <w:bottom w:val="single" w:sz="8" w:space="0" w:color="auto"/>
              <w:right w:val="single" w:sz="8" w:space="0" w:color="auto"/>
            </w:tcBorders>
            <w:shd w:val="clear" w:color="000000" w:fill="FFFFFF"/>
            <w:noWrap/>
            <w:vAlign w:val="center"/>
            <w:hideMark/>
          </w:tcPr>
          <w:p w14:paraId="72D14DCD" w14:textId="77777777" w:rsidR="00C74658" w:rsidRPr="00C74658" w:rsidRDefault="00C74658" w:rsidP="00C74658">
            <w:pPr>
              <w:spacing w:after="0" w:line="240" w:lineRule="auto"/>
              <w:jc w:val="center"/>
              <w:rPr>
                <w:rFonts w:ascii="Times New Roman" w:hAnsi="Times New Roman"/>
                <w:color w:val="000000"/>
                <w:sz w:val="24"/>
                <w:szCs w:val="24"/>
                <w:lang w:eastAsia="es-DO"/>
              </w:rPr>
            </w:pPr>
            <w:r w:rsidRPr="00C74658">
              <w:rPr>
                <w:rFonts w:ascii="Times New Roman" w:hAnsi="Times New Roman"/>
                <w:color w:val="000000"/>
                <w:sz w:val="24"/>
                <w:szCs w:val="24"/>
                <w:lang w:eastAsia="es-DO"/>
              </w:rPr>
              <w:t>100%</w:t>
            </w:r>
          </w:p>
        </w:tc>
      </w:tr>
      <w:tr w:rsidR="00C74658" w:rsidRPr="00C74658" w14:paraId="47D8B084" w14:textId="77777777" w:rsidTr="00BA6F83">
        <w:trPr>
          <w:trHeight w:val="585"/>
        </w:trPr>
        <w:tc>
          <w:tcPr>
            <w:tcW w:w="6175" w:type="dxa"/>
            <w:tcBorders>
              <w:top w:val="nil"/>
              <w:left w:val="single" w:sz="8" w:space="0" w:color="auto"/>
              <w:bottom w:val="single" w:sz="8" w:space="0" w:color="auto"/>
              <w:right w:val="single" w:sz="8" w:space="0" w:color="auto"/>
            </w:tcBorders>
            <w:vAlign w:val="center"/>
            <w:hideMark/>
          </w:tcPr>
          <w:p w14:paraId="13E949CE" w14:textId="77777777" w:rsidR="00C74658" w:rsidRPr="00C74658" w:rsidRDefault="00C74658" w:rsidP="00C74658">
            <w:pPr>
              <w:spacing w:after="0" w:line="240" w:lineRule="auto"/>
              <w:rPr>
                <w:rFonts w:ascii="Times New Roman" w:hAnsi="Times New Roman"/>
                <w:color w:val="000000"/>
                <w:sz w:val="24"/>
                <w:szCs w:val="24"/>
                <w:lang w:eastAsia="es-DO"/>
              </w:rPr>
            </w:pPr>
            <w:r w:rsidRPr="00C74658">
              <w:rPr>
                <w:rFonts w:ascii="Times New Roman" w:hAnsi="Times New Roman"/>
                <w:color w:val="000000"/>
                <w:sz w:val="24"/>
                <w:szCs w:val="24"/>
                <w:lang w:eastAsia="es-DO"/>
              </w:rPr>
              <w:t>Mantenimiento del UPS central en la sede principal.</w:t>
            </w:r>
          </w:p>
        </w:tc>
        <w:tc>
          <w:tcPr>
            <w:tcW w:w="2714" w:type="dxa"/>
            <w:tcBorders>
              <w:top w:val="nil"/>
              <w:left w:val="nil"/>
              <w:bottom w:val="single" w:sz="8" w:space="0" w:color="auto"/>
              <w:right w:val="single" w:sz="8" w:space="0" w:color="auto"/>
            </w:tcBorders>
            <w:shd w:val="clear" w:color="000000" w:fill="FFFFFF"/>
            <w:noWrap/>
            <w:vAlign w:val="center"/>
            <w:hideMark/>
          </w:tcPr>
          <w:p w14:paraId="77C125EB" w14:textId="77777777" w:rsidR="00C74658" w:rsidRPr="00C74658" w:rsidRDefault="00C74658" w:rsidP="00C74658">
            <w:pPr>
              <w:spacing w:after="0" w:line="240" w:lineRule="auto"/>
              <w:jc w:val="center"/>
              <w:rPr>
                <w:rFonts w:ascii="Times New Roman" w:hAnsi="Times New Roman"/>
                <w:color w:val="000000"/>
                <w:sz w:val="24"/>
                <w:szCs w:val="24"/>
                <w:lang w:eastAsia="es-DO"/>
              </w:rPr>
            </w:pPr>
            <w:r w:rsidRPr="00C74658">
              <w:rPr>
                <w:rFonts w:ascii="Times New Roman" w:hAnsi="Times New Roman"/>
                <w:color w:val="000000"/>
                <w:sz w:val="24"/>
                <w:szCs w:val="24"/>
                <w:lang w:eastAsia="es-DO"/>
              </w:rPr>
              <w:t>0%</w:t>
            </w:r>
          </w:p>
        </w:tc>
      </w:tr>
      <w:tr w:rsidR="00C74658" w:rsidRPr="00C74658" w14:paraId="2223FDDB" w14:textId="77777777" w:rsidTr="00BA6F83">
        <w:trPr>
          <w:trHeight w:val="327"/>
        </w:trPr>
        <w:tc>
          <w:tcPr>
            <w:tcW w:w="6175" w:type="dxa"/>
            <w:tcBorders>
              <w:top w:val="nil"/>
              <w:left w:val="single" w:sz="8" w:space="0" w:color="auto"/>
              <w:bottom w:val="single" w:sz="8" w:space="0" w:color="auto"/>
              <w:right w:val="single" w:sz="8" w:space="0" w:color="auto"/>
            </w:tcBorders>
            <w:shd w:val="clear" w:color="000000" w:fill="002060"/>
            <w:noWrap/>
            <w:vAlign w:val="center"/>
            <w:hideMark/>
          </w:tcPr>
          <w:p w14:paraId="5EF89370" w14:textId="77777777" w:rsidR="00C74658" w:rsidRPr="00C74658" w:rsidRDefault="00C74658" w:rsidP="00C74658">
            <w:pPr>
              <w:spacing w:after="0" w:line="240" w:lineRule="auto"/>
              <w:rPr>
                <w:rFonts w:ascii="Times New Roman" w:hAnsi="Times New Roman"/>
                <w:b/>
                <w:bCs/>
                <w:color w:val="FFFFFF"/>
                <w:sz w:val="24"/>
                <w:szCs w:val="24"/>
                <w:lang w:eastAsia="es-DO"/>
              </w:rPr>
            </w:pPr>
            <w:r w:rsidRPr="00C74658">
              <w:rPr>
                <w:rFonts w:ascii="Times New Roman" w:hAnsi="Times New Roman"/>
                <w:b/>
                <w:bCs/>
                <w:color w:val="FFFFFF"/>
                <w:sz w:val="24"/>
                <w:szCs w:val="24"/>
                <w:lang w:eastAsia="es-DO"/>
              </w:rPr>
              <w:t>Porcentaje total de cumplimiento</w:t>
            </w:r>
          </w:p>
        </w:tc>
        <w:tc>
          <w:tcPr>
            <w:tcW w:w="2714" w:type="dxa"/>
            <w:tcBorders>
              <w:top w:val="nil"/>
              <w:left w:val="nil"/>
              <w:bottom w:val="single" w:sz="8" w:space="0" w:color="auto"/>
              <w:right w:val="single" w:sz="8" w:space="0" w:color="auto"/>
            </w:tcBorders>
            <w:shd w:val="clear" w:color="000000" w:fill="002060"/>
            <w:noWrap/>
            <w:vAlign w:val="center"/>
            <w:hideMark/>
          </w:tcPr>
          <w:p w14:paraId="013D2794" w14:textId="77777777" w:rsidR="00C74658" w:rsidRPr="00C74658" w:rsidRDefault="00C74658" w:rsidP="00C74658">
            <w:pPr>
              <w:spacing w:after="0" w:line="240" w:lineRule="auto"/>
              <w:jc w:val="center"/>
              <w:rPr>
                <w:rFonts w:ascii="Times New Roman" w:hAnsi="Times New Roman"/>
                <w:b/>
                <w:bCs/>
                <w:color w:val="FFFFFF"/>
                <w:sz w:val="24"/>
                <w:szCs w:val="24"/>
                <w:lang w:eastAsia="es-DO"/>
              </w:rPr>
            </w:pPr>
            <w:r w:rsidRPr="00C74658">
              <w:rPr>
                <w:rFonts w:ascii="Times New Roman" w:hAnsi="Times New Roman"/>
                <w:b/>
                <w:bCs/>
                <w:color w:val="FFFFFF"/>
                <w:sz w:val="24"/>
                <w:szCs w:val="24"/>
                <w:lang w:eastAsia="es-DO"/>
              </w:rPr>
              <w:t>67%</w:t>
            </w:r>
          </w:p>
        </w:tc>
      </w:tr>
      <w:tr w:rsidR="00C74658" w:rsidRPr="00C74658" w14:paraId="649E900C" w14:textId="77777777" w:rsidTr="00BA6F83">
        <w:trPr>
          <w:trHeight w:val="183"/>
        </w:trPr>
        <w:tc>
          <w:tcPr>
            <w:tcW w:w="8890" w:type="dxa"/>
            <w:gridSpan w:val="2"/>
            <w:tcBorders>
              <w:top w:val="single" w:sz="8" w:space="0" w:color="auto"/>
              <w:left w:val="nil"/>
              <w:bottom w:val="nil"/>
              <w:right w:val="nil"/>
            </w:tcBorders>
            <w:vAlign w:val="center"/>
            <w:hideMark/>
          </w:tcPr>
          <w:p w14:paraId="59CE9107" w14:textId="77777777" w:rsidR="00C74658" w:rsidRPr="00C74658" w:rsidRDefault="00C74658" w:rsidP="00C74658">
            <w:pPr>
              <w:spacing w:after="0" w:line="240" w:lineRule="auto"/>
              <w:jc w:val="center"/>
              <w:rPr>
                <w:rFonts w:ascii="Times New Roman" w:hAnsi="Times New Roman"/>
                <w:b/>
                <w:bCs/>
                <w:i/>
                <w:iCs/>
                <w:color w:val="000000"/>
                <w:sz w:val="18"/>
                <w:szCs w:val="18"/>
                <w:lang w:eastAsia="es-DO"/>
              </w:rPr>
            </w:pPr>
            <w:r w:rsidRPr="00C74658">
              <w:rPr>
                <w:rFonts w:ascii="Times New Roman" w:hAnsi="Times New Roman"/>
                <w:b/>
                <w:bCs/>
                <w:i/>
                <w:iCs/>
                <w:color w:val="000000"/>
                <w:sz w:val="18"/>
                <w:szCs w:val="18"/>
                <w:lang w:eastAsia="es-DO"/>
              </w:rPr>
              <w:t>Fuente</w:t>
            </w:r>
            <w:r w:rsidRPr="00C74658">
              <w:rPr>
                <w:rFonts w:ascii="Times New Roman" w:hAnsi="Times New Roman"/>
                <w:i/>
                <w:iCs/>
                <w:color w:val="000000"/>
                <w:sz w:val="18"/>
                <w:szCs w:val="18"/>
                <w:lang w:eastAsia="es-DO"/>
              </w:rPr>
              <w:t>: elaboración propia con datos obtenidos de las ejecuciones del POA 2026 del Departamento de Tecnologías de la Información y Comunicación.</w:t>
            </w:r>
          </w:p>
        </w:tc>
      </w:tr>
    </w:tbl>
    <w:p w14:paraId="5807B3A6" w14:textId="77777777" w:rsidR="00C74658" w:rsidRPr="00C74658" w:rsidRDefault="00C74658" w:rsidP="00C74658"/>
    <w:p w14:paraId="15DBF6DB" w14:textId="7BFA09EE" w:rsidR="00C74658" w:rsidRPr="003944F9" w:rsidRDefault="00825FBF" w:rsidP="00C74658">
      <w:pPr>
        <w:pStyle w:val="Ttulo1"/>
        <w:numPr>
          <w:ilvl w:val="0"/>
          <w:numId w:val="1"/>
        </w:numPr>
        <w:spacing w:line="360" w:lineRule="auto"/>
        <w:ind w:left="0"/>
        <w:rPr>
          <w:rFonts w:ascii="Times New Roman" w:hAnsi="Times New Roman" w:cs="Times New Roman"/>
          <w:b/>
          <w:bCs/>
          <w:sz w:val="24"/>
          <w:szCs w:val="24"/>
        </w:rPr>
      </w:pPr>
      <w:r w:rsidRPr="003944F9">
        <w:rPr>
          <w:rFonts w:ascii="Times New Roman" w:hAnsi="Times New Roman" w:cs="Times New Roman"/>
          <w:b/>
          <w:bCs/>
          <w:sz w:val="24"/>
          <w:szCs w:val="24"/>
        </w:rPr>
        <w:t>Departamento Jurídico</w:t>
      </w:r>
    </w:p>
    <w:p w14:paraId="02E1C895" w14:textId="34A55266" w:rsidR="00ED72B2" w:rsidRDefault="00ED72B2" w:rsidP="00ED72B2">
      <w:pPr>
        <w:jc w:val="both"/>
        <w:rPr>
          <w:rFonts w:ascii="Times New Roman" w:hAnsi="Times New Roman"/>
          <w:sz w:val="24"/>
          <w:szCs w:val="24"/>
        </w:rPr>
      </w:pPr>
      <w:r w:rsidRPr="00ED72B2">
        <w:rPr>
          <w:rFonts w:ascii="Times New Roman" w:hAnsi="Times New Roman"/>
          <w:sz w:val="24"/>
          <w:szCs w:val="24"/>
        </w:rPr>
        <w:t>El Departamento Jurídico registró un desempeño favorable en sus actividades, alcanzando el 100 % en la mayoría de los procesos sustantivos, como asesorías legales, defensa de demandas y documentación de compras. No obstante, algunas actividades presentaron ejecución parcial (6</w:t>
      </w:r>
      <w:r w:rsidR="00B826A9">
        <w:rPr>
          <w:rFonts w:ascii="Times New Roman" w:hAnsi="Times New Roman"/>
          <w:sz w:val="24"/>
          <w:szCs w:val="24"/>
        </w:rPr>
        <w:t>7</w:t>
      </w:r>
      <w:r w:rsidRPr="00ED72B2">
        <w:rPr>
          <w:rFonts w:ascii="Times New Roman" w:hAnsi="Times New Roman"/>
          <w:sz w:val="24"/>
          <w:szCs w:val="24"/>
        </w:rPr>
        <w:t>%) en la redacción y envío de contratos, debido al cierre del sistema SIGEF, así como en los acuerdos de pago, por la ausencia de conciliaciones durante el período. Por otro lado, la redacción de actas de Directorio no aplicó en el mes evaluado, mientras que la tramitación de expedientes por deuda administrativa (0%) se encuentra en proceso, a la espera de depuración y certificación por parte de la Dirección Administrativa Financiera.</w:t>
      </w:r>
    </w:p>
    <w:tbl>
      <w:tblPr>
        <w:tblW w:w="8500" w:type="dxa"/>
        <w:tblCellMar>
          <w:left w:w="70" w:type="dxa"/>
          <w:right w:w="70" w:type="dxa"/>
        </w:tblCellMar>
        <w:tblLook w:val="04A0" w:firstRow="1" w:lastRow="0" w:firstColumn="1" w:lastColumn="0" w:noHBand="0" w:noVBand="1"/>
      </w:tblPr>
      <w:tblGrid>
        <w:gridCol w:w="5904"/>
        <w:gridCol w:w="2596"/>
      </w:tblGrid>
      <w:tr w:rsidR="00ED72B2" w:rsidRPr="00ED72B2" w14:paraId="0C35B53E" w14:textId="77777777" w:rsidTr="00BA6F83">
        <w:trPr>
          <w:trHeight w:val="424"/>
        </w:trPr>
        <w:tc>
          <w:tcPr>
            <w:tcW w:w="8500" w:type="dxa"/>
            <w:gridSpan w:val="2"/>
            <w:tcBorders>
              <w:top w:val="nil"/>
              <w:left w:val="nil"/>
              <w:bottom w:val="single" w:sz="8" w:space="0" w:color="auto"/>
              <w:right w:val="nil"/>
            </w:tcBorders>
            <w:vAlign w:val="center"/>
            <w:hideMark/>
          </w:tcPr>
          <w:p w14:paraId="58F6B975" w14:textId="1FB44C8B" w:rsidR="00ED72B2" w:rsidRPr="00ED72B2" w:rsidRDefault="00ED72B2" w:rsidP="00ED72B2">
            <w:pPr>
              <w:spacing w:after="0" w:line="240" w:lineRule="auto"/>
              <w:jc w:val="center"/>
              <w:rPr>
                <w:rFonts w:ascii="Times New Roman" w:hAnsi="Times New Roman"/>
                <w:b/>
                <w:bCs/>
                <w:color w:val="000000"/>
                <w:lang w:eastAsia="es-DO"/>
              </w:rPr>
            </w:pPr>
            <w:r w:rsidRPr="00ED72B2">
              <w:rPr>
                <w:rFonts w:ascii="Times New Roman" w:hAnsi="Times New Roman"/>
                <w:b/>
                <w:bCs/>
                <w:color w:val="000000"/>
                <w:lang w:eastAsia="es-DO"/>
              </w:rPr>
              <w:t>Tabla 13</w:t>
            </w:r>
            <w:r w:rsidRPr="00ED72B2">
              <w:rPr>
                <w:rFonts w:ascii="Times New Roman" w:hAnsi="Times New Roman"/>
                <w:b/>
                <w:bCs/>
                <w:lang w:eastAsia="es-DO"/>
              </w:rPr>
              <w:t>.</w:t>
            </w:r>
            <w:r w:rsidRPr="00ED72B2">
              <w:rPr>
                <w:rFonts w:ascii="Times New Roman" w:hAnsi="Times New Roman"/>
                <w:color w:val="000000"/>
                <w:lang w:eastAsia="es-DO"/>
              </w:rPr>
              <w:t xml:space="preserve"> Resultados del Departamento Jurídico, según objetivo, 2026.</w:t>
            </w:r>
          </w:p>
        </w:tc>
      </w:tr>
      <w:tr w:rsidR="00ED72B2" w:rsidRPr="00ED72B2" w14:paraId="7F0B6357" w14:textId="77777777" w:rsidTr="00BA6F83">
        <w:trPr>
          <w:trHeight w:val="326"/>
        </w:trPr>
        <w:tc>
          <w:tcPr>
            <w:tcW w:w="850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376C90B" w14:textId="77777777" w:rsidR="00ED72B2" w:rsidRPr="00ED72B2" w:rsidRDefault="00ED72B2" w:rsidP="00ED72B2">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Departamento Jurídico</w:t>
            </w:r>
          </w:p>
        </w:tc>
      </w:tr>
      <w:tr w:rsidR="00ED72B2" w:rsidRPr="00ED72B2" w14:paraId="1352D918" w14:textId="77777777" w:rsidTr="00BA6F83">
        <w:trPr>
          <w:trHeight w:val="326"/>
        </w:trPr>
        <w:tc>
          <w:tcPr>
            <w:tcW w:w="5904" w:type="dxa"/>
            <w:tcBorders>
              <w:top w:val="nil"/>
              <w:left w:val="single" w:sz="8" w:space="0" w:color="auto"/>
              <w:bottom w:val="single" w:sz="8" w:space="0" w:color="auto"/>
              <w:right w:val="single" w:sz="8" w:space="0" w:color="auto"/>
            </w:tcBorders>
            <w:shd w:val="clear" w:color="000000" w:fill="002060"/>
            <w:noWrap/>
            <w:vAlign w:val="center"/>
            <w:hideMark/>
          </w:tcPr>
          <w:p w14:paraId="72EEF138" w14:textId="025AC4E8" w:rsidR="00ED72B2" w:rsidRPr="00ED72B2" w:rsidRDefault="005545E1" w:rsidP="00ED72B2">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595" w:type="dxa"/>
            <w:tcBorders>
              <w:top w:val="nil"/>
              <w:left w:val="nil"/>
              <w:bottom w:val="single" w:sz="8" w:space="0" w:color="auto"/>
              <w:right w:val="single" w:sz="8" w:space="0" w:color="auto"/>
            </w:tcBorders>
            <w:shd w:val="clear" w:color="000000" w:fill="002060"/>
            <w:noWrap/>
            <w:vAlign w:val="center"/>
            <w:hideMark/>
          </w:tcPr>
          <w:p w14:paraId="53A8F1D8" w14:textId="77777777" w:rsidR="00ED72B2" w:rsidRPr="00ED72B2" w:rsidRDefault="00ED72B2" w:rsidP="00ED72B2">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 Cumplimiento</w:t>
            </w:r>
          </w:p>
        </w:tc>
      </w:tr>
      <w:tr w:rsidR="00ED72B2" w:rsidRPr="00ED72B2" w14:paraId="1BC083C0" w14:textId="77777777" w:rsidTr="00BA6F83">
        <w:trPr>
          <w:trHeight w:val="337"/>
        </w:trPr>
        <w:tc>
          <w:tcPr>
            <w:tcW w:w="5904" w:type="dxa"/>
            <w:tcBorders>
              <w:top w:val="nil"/>
              <w:left w:val="single" w:sz="8" w:space="0" w:color="auto"/>
              <w:bottom w:val="single" w:sz="8" w:space="0" w:color="auto"/>
              <w:right w:val="single" w:sz="8" w:space="0" w:color="auto"/>
            </w:tcBorders>
            <w:vAlign w:val="center"/>
            <w:hideMark/>
          </w:tcPr>
          <w:p w14:paraId="6C5F173A"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Redacción de Contratos varios</w:t>
            </w:r>
          </w:p>
        </w:tc>
        <w:tc>
          <w:tcPr>
            <w:tcW w:w="2595" w:type="dxa"/>
            <w:tcBorders>
              <w:top w:val="nil"/>
              <w:left w:val="nil"/>
              <w:bottom w:val="single" w:sz="8" w:space="0" w:color="auto"/>
              <w:right w:val="single" w:sz="8" w:space="0" w:color="auto"/>
            </w:tcBorders>
            <w:shd w:val="clear" w:color="000000" w:fill="FFFFFF"/>
            <w:noWrap/>
            <w:vAlign w:val="center"/>
            <w:hideMark/>
          </w:tcPr>
          <w:p w14:paraId="170AFE0A"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ED72B2" w:rsidRPr="00ED72B2" w14:paraId="35F5F5F1" w14:textId="77777777" w:rsidTr="00BA6F83">
        <w:trPr>
          <w:trHeight w:val="685"/>
        </w:trPr>
        <w:tc>
          <w:tcPr>
            <w:tcW w:w="5904" w:type="dxa"/>
            <w:tcBorders>
              <w:top w:val="nil"/>
              <w:left w:val="single" w:sz="8" w:space="0" w:color="auto"/>
              <w:bottom w:val="single" w:sz="8" w:space="0" w:color="auto"/>
              <w:right w:val="single" w:sz="8" w:space="0" w:color="auto"/>
            </w:tcBorders>
            <w:vAlign w:val="center"/>
            <w:hideMark/>
          </w:tcPr>
          <w:p w14:paraId="438B267B"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Envío de los contratos aprobados a la Contraloría General de la Republica</w:t>
            </w:r>
          </w:p>
        </w:tc>
        <w:tc>
          <w:tcPr>
            <w:tcW w:w="2595" w:type="dxa"/>
            <w:tcBorders>
              <w:top w:val="nil"/>
              <w:left w:val="nil"/>
              <w:bottom w:val="single" w:sz="8" w:space="0" w:color="auto"/>
              <w:right w:val="single" w:sz="8" w:space="0" w:color="auto"/>
            </w:tcBorders>
            <w:shd w:val="clear" w:color="000000" w:fill="FFFFFF"/>
            <w:noWrap/>
            <w:vAlign w:val="center"/>
            <w:hideMark/>
          </w:tcPr>
          <w:p w14:paraId="4C500C55"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ED72B2" w:rsidRPr="00ED72B2" w14:paraId="451431EA" w14:textId="77777777" w:rsidTr="00BA6F83">
        <w:trPr>
          <w:trHeight w:val="685"/>
        </w:trPr>
        <w:tc>
          <w:tcPr>
            <w:tcW w:w="5904" w:type="dxa"/>
            <w:tcBorders>
              <w:top w:val="nil"/>
              <w:left w:val="single" w:sz="8" w:space="0" w:color="auto"/>
              <w:bottom w:val="single" w:sz="8" w:space="0" w:color="auto"/>
              <w:right w:val="single" w:sz="8" w:space="0" w:color="auto"/>
            </w:tcBorders>
            <w:vAlign w:val="center"/>
            <w:hideMark/>
          </w:tcPr>
          <w:p w14:paraId="37E8E8F5" w14:textId="38D1080F"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Redacción y revisión de documentación de los procesos de compras</w:t>
            </w:r>
          </w:p>
        </w:tc>
        <w:tc>
          <w:tcPr>
            <w:tcW w:w="2595" w:type="dxa"/>
            <w:tcBorders>
              <w:top w:val="nil"/>
              <w:left w:val="nil"/>
              <w:bottom w:val="single" w:sz="8" w:space="0" w:color="auto"/>
              <w:right w:val="single" w:sz="8" w:space="0" w:color="auto"/>
            </w:tcBorders>
            <w:noWrap/>
            <w:vAlign w:val="center"/>
            <w:hideMark/>
          </w:tcPr>
          <w:p w14:paraId="7D3DC0A3"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100%</w:t>
            </w:r>
          </w:p>
        </w:tc>
      </w:tr>
      <w:tr w:rsidR="00ED72B2" w:rsidRPr="00ED72B2" w14:paraId="1A67ECC0" w14:textId="77777777" w:rsidTr="00BA6F83">
        <w:trPr>
          <w:trHeight w:val="352"/>
        </w:trPr>
        <w:tc>
          <w:tcPr>
            <w:tcW w:w="5904" w:type="dxa"/>
            <w:tcBorders>
              <w:top w:val="nil"/>
              <w:left w:val="single" w:sz="8" w:space="0" w:color="auto"/>
              <w:bottom w:val="single" w:sz="8" w:space="0" w:color="auto"/>
              <w:right w:val="single" w:sz="8" w:space="0" w:color="auto"/>
            </w:tcBorders>
            <w:vAlign w:val="center"/>
            <w:hideMark/>
          </w:tcPr>
          <w:p w14:paraId="32CBABDC" w14:textId="11B383B1"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Asesoría y/</w:t>
            </w:r>
            <w:proofErr w:type="spellStart"/>
            <w:r w:rsidRPr="00ED72B2">
              <w:rPr>
                <w:rFonts w:ascii="Times New Roman" w:hAnsi="Times New Roman"/>
                <w:color w:val="000000"/>
                <w:sz w:val="24"/>
                <w:szCs w:val="24"/>
                <w:lang w:eastAsia="es-DO"/>
              </w:rPr>
              <w:t>o</w:t>
            </w:r>
            <w:proofErr w:type="spellEnd"/>
            <w:r w:rsidRPr="00ED72B2">
              <w:rPr>
                <w:rFonts w:ascii="Times New Roman" w:hAnsi="Times New Roman"/>
                <w:color w:val="000000"/>
                <w:sz w:val="24"/>
                <w:szCs w:val="24"/>
                <w:lang w:eastAsia="es-DO"/>
              </w:rPr>
              <w:t xml:space="preserve"> Opiniones Legales</w:t>
            </w:r>
          </w:p>
        </w:tc>
        <w:tc>
          <w:tcPr>
            <w:tcW w:w="2595" w:type="dxa"/>
            <w:tcBorders>
              <w:top w:val="nil"/>
              <w:left w:val="nil"/>
              <w:bottom w:val="single" w:sz="8" w:space="0" w:color="auto"/>
              <w:right w:val="single" w:sz="8" w:space="0" w:color="auto"/>
            </w:tcBorders>
            <w:noWrap/>
            <w:vAlign w:val="center"/>
            <w:hideMark/>
          </w:tcPr>
          <w:p w14:paraId="4A8CE632"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100%</w:t>
            </w:r>
          </w:p>
        </w:tc>
      </w:tr>
      <w:tr w:rsidR="00ED72B2" w:rsidRPr="00ED72B2" w14:paraId="4D8CB3DE" w14:textId="77777777" w:rsidTr="00BA6F83">
        <w:trPr>
          <w:trHeight w:val="648"/>
        </w:trPr>
        <w:tc>
          <w:tcPr>
            <w:tcW w:w="5904" w:type="dxa"/>
            <w:tcBorders>
              <w:top w:val="nil"/>
              <w:left w:val="single" w:sz="8" w:space="0" w:color="auto"/>
              <w:bottom w:val="single" w:sz="8" w:space="0" w:color="auto"/>
              <w:right w:val="single" w:sz="8" w:space="0" w:color="auto"/>
            </w:tcBorders>
            <w:vAlign w:val="center"/>
            <w:hideMark/>
          </w:tcPr>
          <w:p w14:paraId="1FF23A66" w14:textId="75A312CC"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Defensa legal a demandas varias.</w:t>
            </w:r>
          </w:p>
        </w:tc>
        <w:tc>
          <w:tcPr>
            <w:tcW w:w="2595" w:type="dxa"/>
            <w:tcBorders>
              <w:top w:val="nil"/>
              <w:left w:val="nil"/>
              <w:bottom w:val="single" w:sz="8" w:space="0" w:color="auto"/>
              <w:right w:val="single" w:sz="8" w:space="0" w:color="auto"/>
            </w:tcBorders>
            <w:noWrap/>
            <w:vAlign w:val="center"/>
            <w:hideMark/>
          </w:tcPr>
          <w:p w14:paraId="2AB71AD2"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100%</w:t>
            </w:r>
          </w:p>
        </w:tc>
      </w:tr>
      <w:tr w:rsidR="00ED72B2" w:rsidRPr="00ED72B2" w14:paraId="3AA9DC3F" w14:textId="77777777" w:rsidTr="00BA6F83">
        <w:trPr>
          <w:trHeight w:val="648"/>
        </w:trPr>
        <w:tc>
          <w:tcPr>
            <w:tcW w:w="5904" w:type="dxa"/>
            <w:tcBorders>
              <w:top w:val="nil"/>
              <w:left w:val="single" w:sz="8" w:space="0" w:color="auto"/>
              <w:bottom w:val="single" w:sz="8" w:space="0" w:color="auto"/>
              <w:right w:val="single" w:sz="8" w:space="0" w:color="auto"/>
            </w:tcBorders>
            <w:vAlign w:val="center"/>
            <w:hideMark/>
          </w:tcPr>
          <w:p w14:paraId="29DD33BA"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Redacción actas reunión de Directorio.</w:t>
            </w:r>
          </w:p>
        </w:tc>
        <w:tc>
          <w:tcPr>
            <w:tcW w:w="2595" w:type="dxa"/>
            <w:tcBorders>
              <w:top w:val="nil"/>
              <w:left w:val="nil"/>
              <w:bottom w:val="single" w:sz="8" w:space="0" w:color="auto"/>
              <w:right w:val="single" w:sz="8" w:space="0" w:color="auto"/>
            </w:tcBorders>
            <w:noWrap/>
            <w:vAlign w:val="center"/>
            <w:hideMark/>
          </w:tcPr>
          <w:p w14:paraId="26162583"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0%</w:t>
            </w:r>
          </w:p>
        </w:tc>
      </w:tr>
      <w:tr w:rsidR="00ED72B2" w:rsidRPr="00ED72B2" w14:paraId="7A7B1DF3" w14:textId="77777777" w:rsidTr="00BA6F83">
        <w:trPr>
          <w:trHeight w:val="648"/>
        </w:trPr>
        <w:tc>
          <w:tcPr>
            <w:tcW w:w="5904" w:type="dxa"/>
            <w:tcBorders>
              <w:top w:val="nil"/>
              <w:left w:val="single" w:sz="8" w:space="0" w:color="auto"/>
              <w:bottom w:val="single" w:sz="8" w:space="0" w:color="auto"/>
              <w:right w:val="single" w:sz="8" w:space="0" w:color="auto"/>
            </w:tcBorders>
            <w:vAlign w:val="center"/>
            <w:hideMark/>
          </w:tcPr>
          <w:p w14:paraId="21732592"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 xml:space="preserve">Redacción de recibos de descargo por beneficios laborales. </w:t>
            </w:r>
          </w:p>
        </w:tc>
        <w:tc>
          <w:tcPr>
            <w:tcW w:w="2595" w:type="dxa"/>
            <w:tcBorders>
              <w:top w:val="nil"/>
              <w:left w:val="nil"/>
              <w:bottom w:val="single" w:sz="8" w:space="0" w:color="auto"/>
              <w:right w:val="single" w:sz="8" w:space="0" w:color="auto"/>
            </w:tcBorders>
            <w:noWrap/>
            <w:vAlign w:val="center"/>
            <w:hideMark/>
          </w:tcPr>
          <w:p w14:paraId="59750CDB"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100%</w:t>
            </w:r>
          </w:p>
        </w:tc>
      </w:tr>
      <w:tr w:rsidR="00ED72B2" w:rsidRPr="00ED72B2" w14:paraId="1A2B3D80" w14:textId="77777777" w:rsidTr="00BA6F83">
        <w:trPr>
          <w:trHeight w:val="648"/>
        </w:trPr>
        <w:tc>
          <w:tcPr>
            <w:tcW w:w="5904" w:type="dxa"/>
            <w:tcBorders>
              <w:top w:val="nil"/>
              <w:left w:val="single" w:sz="8" w:space="0" w:color="auto"/>
              <w:bottom w:val="single" w:sz="8" w:space="0" w:color="auto"/>
              <w:right w:val="single" w:sz="8" w:space="0" w:color="auto"/>
            </w:tcBorders>
            <w:vAlign w:val="center"/>
            <w:hideMark/>
          </w:tcPr>
          <w:p w14:paraId="6038DECC"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lastRenderedPageBreak/>
              <w:t>Redacción de Acuerdos de pago por prestaciones laborales.</w:t>
            </w:r>
          </w:p>
        </w:tc>
        <w:tc>
          <w:tcPr>
            <w:tcW w:w="2595" w:type="dxa"/>
            <w:tcBorders>
              <w:top w:val="nil"/>
              <w:left w:val="nil"/>
              <w:bottom w:val="single" w:sz="8" w:space="0" w:color="auto"/>
              <w:right w:val="single" w:sz="8" w:space="0" w:color="auto"/>
            </w:tcBorders>
            <w:noWrap/>
            <w:vAlign w:val="center"/>
            <w:hideMark/>
          </w:tcPr>
          <w:p w14:paraId="00C82B21"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ED72B2" w:rsidRPr="00ED72B2" w14:paraId="7797A336" w14:textId="77777777" w:rsidTr="00BA6F83">
        <w:trPr>
          <w:trHeight w:val="648"/>
        </w:trPr>
        <w:tc>
          <w:tcPr>
            <w:tcW w:w="5904" w:type="dxa"/>
            <w:tcBorders>
              <w:top w:val="nil"/>
              <w:left w:val="single" w:sz="8" w:space="0" w:color="auto"/>
              <w:bottom w:val="single" w:sz="8" w:space="0" w:color="auto"/>
              <w:right w:val="single" w:sz="8" w:space="0" w:color="auto"/>
            </w:tcBorders>
            <w:vAlign w:val="center"/>
            <w:hideMark/>
          </w:tcPr>
          <w:p w14:paraId="07E306EF" w14:textId="77777777" w:rsidR="00ED72B2" w:rsidRPr="00ED72B2" w:rsidRDefault="00ED72B2" w:rsidP="00ED72B2">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Tramitación de expedientes para fines de reconocimiento por deuda administrativa mediante inclusión en el Presupuesto General del Estado.</w:t>
            </w:r>
          </w:p>
        </w:tc>
        <w:tc>
          <w:tcPr>
            <w:tcW w:w="2595" w:type="dxa"/>
            <w:tcBorders>
              <w:top w:val="nil"/>
              <w:left w:val="nil"/>
              <w:bottom w:val="single" w:sz="8" w:space="0" w:color="auto"/>
              <w:right w:val="single" w:sz="8" w:space="0" w:color="auto"/>
            </w:tcBorders>
            <w:noWrap/>
            <w:vAlign w:val="center"/>
            <w:hideMark/>
          </w:tcPr>
          <w:p w14:paraId="2B8DBCFB" w14:textId="77777777" w:rsidR="00ED72B2" w:rsidRPr="00ED72B2" w:rsidRDefault="00ED72B2" w:rsidP="00ED72B2">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0%</w:t>
            </w:r>
          </w:p>
        </w:tc>
      </w:tr>
      <w:tr w:rsidR="00ED72B2" w:rsidRPr="00ED72B2" w14:paraId="0A692C95" w14:textId="77777777" w:rsidTr="00BA6F83">
        <w:trPr>
          <w:trHeight w:val="326"/>
        </w:trPr>
        <w:tc>
          <w:tcPr>
            <w:tcW w:w="5904" w:type="dxa"/>
            <w:tcBorders>
              <w:top w:val="nil"/>
              <w:left w:val="single" w:sz="8" w:space="0" w:color="auto"/>
              <w:bottom w:val="single" w:sz="8" w:space="0" w:color="auto"/>
              <w:right w:val="single" w:sz="8" w:space="0" w:color="auto"/>
            </w:tcBorders>
            <w:shd w:val="clear" w:color="000000" w:fill="002060"/>
            <w:noWrap/>
            <w:vAlign w:val="center"/>
            <w:hideMark/>
          </w:tcPr>
          <w:p w14:paraId="0F5D55C1" w14:textId="77777777" w:rsidR="00ED72B2" w:rsidRPr="00ED72B2" w:rsidRDefault="00ED72B2" w:rsidP="00ED72B2">
            <w:pPr>
              <w:spacing w:after="0" w:line="240" w:lineRule="auto"/>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Porcentaje total de cumplimiento</w:t>
            </w:r>
          </w:p>
        </w:tc>
        <w:tc>
          <w:tcPr>
            <w:tcW w:w="2595" w:type="dxa"/>
            <w:tcBorders>
              <w:top w:val="nil"/>
              <w:left w:val="nil"/>
              <w:bottom w:val="single" w:sz="8" w:space="0" w:color="auto"/>
              <w:right w:val="single" w:sz="8" w:space="0" w:color="auto"/>
            </w:tcBorders>
            <w:shd w:val="clear" w:color="000000" w:fill="002060"/>
            <w:noWrap/>
            <w:vAlign w:val="center"/>
            <w:hideMark/>
          </w:tcPr>
          <w:p w14:paraId="0AAF840A" w14:textId="77777777" w:rsidR="00ED72B2" w:rsidRPr="00ED72B2" w:rsidRDefault="00ED72B2" w:rsidP="00ED72B2">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67%</w:t>
            </w:r>
          </w:p>
        </w:tc>
      </w:tr>
      <w:tr w:rsidR="00ED72B2" w:rsidRPr="00ED72B2" w14:paraId="503C1FE0" w14:textId="77777777" w:rsidTr="00BA6F83">
        <w:trPr>
          <w:trHeight w:val="632"/>
        </w:trPr>
        <w:tc>
          <w:tcPr>
            <w:tcW w:w="8500" w:type="dxa"/>
            <w:gridSpan w:val="2"/>
            <w:tcBorders>
              <w:top w:val="single" w:sz="8" w:space="0" w:color="auto"/>
              <w:left w:val="nil"/>
              <w:bottom w:val="nil"/>
              <w:right w:val="nil"/>
            </w:tcBorders>
            <w:vAlign w:val="center"/>
            <w:hideMark/>
          </w:tcPr>
          <w:p w14:paraId="7FE00566" w14:textId="77777777" w:rsidR="00ED72B2" w:rsidRPr="00ED72B2" w:rsidRDefault="00ED72B2" w:rsidP="00ED72B2">
            <w:pPr>
              <w:spacing w:after="0" w:line="240" w:lineRule="auto"/>
              <w:jc w:val="center"/>
              <w:rPr>
                <w:rFonts w:ascii="Times New Roman" w:hAnsi="Times New Roman"/>
                <w:b/>
                <w:bCs/>
                <w:i/>
                <w:iCs/>
                <w:color w:val="000000"/>
                <w:sz w:val="18"/>
                <w:szCs w:val="18"/>
                <w:lang w:eastAsia="es-DO"/>
              </w:rPr>
            </w:pPr>
            <w:r w:rsidRPr="00ED72B2">
              <w:rPr>
                <w:rFonts w:ascii="Times New Roman" w:hAnsi="Times New Roman"/>
                <w:b/>
                <w:bCs/>
                <w:i/>
                <w:iCs/>
                <w:color w:val="000000"/>
                <w:sz w:val="18"/>
                <w:szCs w:val="18"/>
                <w:lang w:eastAsia="es-DO"/>
              </w:rPr>
              <w:t>Fuente</w:t>
            </w:r>
            <w:r w:rsidRPr="00ED72B2">
              <w:rPr>
                <w:rFonts w:ascii="Times New Roman" w:hAnsi="Times New Roman"/>
                <w:i/>
                <w:iCs/>
                <w:color w:val="000000"/>
                <w:sz w:val="18"/>
                <w:szCs w:val="18"/>
                <w:lang w:eastAsia="es-DO"/>
              </w:rPr>
              <w:t>: elaboración propia con datos obtenidos de las ejecuciones del POA 2026 del Departamento Jurídico.</w:t>
            </w:r>
          </w:p>
        </w:tc>
      </w:tr>
    </w:tbl>
    <w:p w14:paraId="745D3070" w14:textId="77777777" w:rsidR="00ED72B2" w:rsidRPr="00ED72B2" w:rsidRDefault="00ED72B2" w:rsidP="00ED72B2">
      <w:pPr>
        <w:jc w:val="both"/>
        <w:rPr>
          <w:rFonts w:ascii="Times New Roman" w:hAnsi="Times New Roman"/>
          <w:sz w:val="24"/>
          <w:szCs w:val="24"/>
        </w:rPr>
      </w:pPr>
    </w:p>
    <w:p w14:paraId="210B9977" w14:textId="2809D570" w:rsidR="00ED72B2" w:rsidRDefault="00ED72B2" w:rsidP="00ED72B2">
      <w:pPr>
        <w:pStyle w:val="Ttulo1"/>
        <w:numPr>
          <w:ilvl w:val="0"/>
          <w:numId w:val="1"/>
        </w:numPr>
        <w:spacing w:line="360" w:lineRule="auto"/>
        <w:ind w:left="0"/>
        <w:rPr>
          <w:rFonts w:ascii="Times New Roman" w:hAnsi="Times New Roman" w:cs="Times New Roman"/>
          <w:b/>
          <w:bCs/>
          <w:sz w:val="24"/>
          <w:szCs w:val="24"/>
        </w:rPr>
      </w:pPr>
      <w:r w:rsidRPr="00ED72B2">
        <w:rPr>
          <w:rFonts w:ascii="Times New Roman" w:hAnsi="Times New Roman" w:cs="Times New Roman"/>
          <w:b/>
          <w:bCs/>
          <w:sz w:val="24"/>
          <w:szCs w:val="24"/>
        </w:rPr>
        <w:t xml:space="preserve"> </w:t>
      </w:r>
      <w:bookmarkStart w:id="38" w:name="_Toc226973090"/>
      <w:r w:rsidRPr="00ED72B2">
        <w:rPr>
          <w:rFonts w:ascii="Times New Roman" w:hAnsi="Times New Roman" w:cs="Times New Roman"/>
          <w:b/>
          <w:bCs/>
          <w:sz w:val="24"/>
          <w:szCs w:val="24"/>
        </w:rPr>
        <w:t>Dirección Administrativa Financiera</w:t>
      </w:r>
      <w:bookmarkEnd w:id="38"/>
    </w:p>
    <w:p w14:paraId="411160D0" w14:textId="6F46BC79" w:rsidR="00ED72B2" w:rsidRDefault="005516B3" w:rsidP="00ED72B2">
      <w:pPr>
        <w:jc w:val="both"/>
        <w:rPr>
          <w:rFonts w:ascii="Times New Roman" w:hAnsi="Times New Roman"/>
          <w:sz w:val="24"/>
          <w:szCs w:val="24"/>
        </w:rPr>
      </w:pPr>
      <w:r w:rsidRPr="005516B3">
        <w:rPr>
          <w:rFonts w:ascii="Times New Roman" w:hAnsi="Times New Roman"/>
          <w:sz w:val="24"/>
          <w:szCs w:val="24"/>
        </w:rPr>
        <w:t xml:space="preserve">La Dirección Administrativa Financiera presentó un nivel de cumplimiento de </w:t>
      </w:r>
      <w:r w:rsidRPr="00BA6F83">
        <w:rPr>
          <w:rFonts w:ascii="Times New Roman" w:hAnsi="Times New Roman"/>
          <w:sz w:val="24"/>
          <w:szCs w:val="24"/>
        </w:rPr>
        <w:t>53%</w:t>
      </w:r>
      <w:r w:rsidRPr="005516B3">
        <w:rPr>
          <w:rFonts w:ascii="Times New Roman" w:hAnsi="Times New Roman"/>
          <w:sz w:val="24"/>
          <w:szCs w:val="24"/>
        </w:rPr>
        <w:t xml:space="preserve"> durante el período evaluado, evidenciando avances en procesos clave como la gestión financiera y operativa. No obstante, algunos productos reflejaron ejecución parcial o nula, en parte asociada a la disponibilidad de información reportada. En el caso de la asignación de combustible, la ejecución se vio limitada debido al agotamiento de la disponibilidad desde el mes de enero, encontrándose en proceso la adquisición correspondiente, con previsión de regularización en los próximos meses.</w:t>
      </w:r>
    </w:p>
    <w:tbl>
      <w:tblPr>
        <w:tblpPr w:leftFromText="141" w:rightFromText="141" w:vertAnchor="text" w:horzAnchor="margin" w:tblpY="3"/>
        <w:tblW w:w="8451" w:type="dxa"/>
        <w:tblCellMar>
          <w:left w:w="70" w:type="dxa"/>
          <w:right w:w="70" w:type="dxa"/>
        </w:tblCellMar>
        <w:tblLook w:val="04A0" w:firstRow="1" w:lastRow="0" w:firstColumn="1" w:lastColumn="0" w:noHBand="0" w:noVBand="1"/>
      </w:tblPr>
      <w:tblGrid>
        <w:gridCol w:w="5870"/>
        <w:gridCol w:w="2581"/>
      </w:tblGrid>
      <w:tr w:rsidR="003944F9" w:rsidRPr="00ED72B2" w14:paraId="79DB6177" w14:textId="77777777" w:rsidTr="00BA6F83">
        <w:trPr>
          <w:trHeight w:val="727"/>
        </w:trPr>
        <w:tc>
          <w:tcPr>
            <w:tcW w:w="8451" w:type="dxa"/>
            <w:gridSpan w:val="2"/>
            <w:tcBorders>
              <w:top w:val="nil"/>
              <w:left w:val="nil"/>
              <w:bottom w:val="single" w:sz="8" w:space="0" w:color="auto"/>
              <w:right w:val="nil"/>
            </w:tcBorders>
            <w:vAlign w:val="center"/>
            <w:hideMark/>
          </w:tcPr>
          <w:p w14:paraId="1B146E62" w14:textId="77777777" w:rsidR="003944F9" w:rsidRPr="00ED72B2" w:rsidRDefault="003944F9" w:rsidP="003944F9">
            <w:pPr>
              <w:spacing w:after="0" w:line="240" w:lineRule="auto"/>
              <w:jc w:val="center"/>
              <w:rPr>
                <w:rFonts w:ascii="Times New Roman" w:hAnsi="Times New Roman"/>
                <w:b/>
                <w:bCs/>
                <w:color w:val="000000"/>
                <w:lang w:eastAsia="es-DO"/>
              </w:rPr>
            </w:pPr>
            <w:r w:rsidRPr="00ED72B2">
              <w:rPr>
                <w:rFonts w:ascii="Times New Roman" w:hAnsi="Times New Roman"/>
                <w:b/>
                <w:bCs/>
                <w:color w:val="000000"/>
                <w:lang w:eastAsia="es-DO"/>
              </w:rPr>
              <w:t>Tabla 14</w:t>
            </w:r>
            <w:r w:rsidRPr="00ED72B2">
              <w:rPr>
                <w:rFonts w:ascii="Times New Roman" w:hAnsi="Times New Roman"/>
                <w:b/>
                <w:bCs/>
                <w:lang w:eastAsia="es-DO"/>
              </w:rPr>
              <w:t>.</w:t>
            </w:r>
            <w:r w:rsidRPr="00ED72B2">
              <w:rPr>
                <w:rFonts w:ascii="Times New Roman" w:hAnsi="Times New Roman"/>
                <w:color w:val="000000"/>
                <w:lang w:eastAsia="es-DO"/>
              </w:rPr>
              <w:t xml:space="preserve"> Resultados de la Dirección Administrativa Financiera, según objetivo, 2026.</w:t>
            </w:r>
          </w:p>
        </w:tc>
      </w:tr>
      <w:tr w:rsidR="003944F9" w:rsidRPr="00ED72B2" w14:paraId="0C8B957C" w14:textId="77777777" w:rsidTr="00BA6F83">
        <w:trPr>
          <w:trHeight w:val="320"/>
        </w:trPr>
        <w:tc>
          <w:tcPr>
            <w:tcW w:w="8451"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70371773" w14:textId="77777777" w:rsidR="003944F9" w:rsidRPr="00ED72B2" w:rsidRDefault="003944F9" w:rsidP="003944F9">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Dirección Administrativa Financiera</w:t>
            </w:r>
          </w:p>
        </w:tc>
      </w:tr>
      <w:tr w:rsidR="003944F9" w:rsidRPr="00ED72B2" w14:paraId="040C6C58" w14:textId="77777777" w:rsidTr="00BA6F83">
        <w:trPr>
          <w:trHeight w:val="320"/>
        </w:trPr>
        <w:tc>
          <w:tcPr>
            <w:tcW w:w="5870" w:type="dxa"/>
            <w:tcBorders>
              <w:top w:val="nil"/>
              <w:left w:val="single" w:sz="8" w:space="0" w:color="auto"/>
              <w:bottom w:val="single" w:sz="8" w:space="0" w:color="auto"/>
              <w:right w:val="single" w:sz="8" w:space="0" w:color="auto"/>
            </w:tcBorders>
            <w:shd w:val="clear" w:color="000000" w:fill="002060"/>
            <w:noWrap/>
            <w:vAlign w:val="center"/>
            <w:hideMark/>
          </w:tcPr>
          <w:p w14:paraId="61F26F84" w14:textId="1D9733D6" w:rsidR="003944F9" w:rsidRPr="00ED72B2" w:rsidRDefault="005545E1" w:rsidP="003944F9">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580" w:type="dxa"/>
            <w:tcBorders>
              <w:top w:val="nil"/>
              <w:left w:val="nil"/>
              <w:bottom w:val="single" w:sz="8" w:space="0" w:color="auto"/>
              <w:right w:val="single" w:sz="8" w:space="0" w:color="auto"/>
            </w:tcBorders>
            <w:shd w:val="clear" w:color="000000" w:fill="002060"/>
            <w:noWrap/>
            <w:vAlign w:val="center"/>
            <w:hideMark/>
          </w:tcPr>
          <w:p w14:paraId="2CAD0102" w14:textId="77777777" w:rsidR="003944F9" w:rsidRPr="00ED72B2" w:rsidRDefault="003944F9" w:rsidP="003944F9">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 Cumplimiento</w:t>
            </w:r>
          </w:p>
        </w:tc>
      </w:tr>
      <w:tr w:rsidR="003944F9" w:rsidRPr="00ED72B2" w14:paraId="6F4EF6A6" w14:textId="77777777" w:rsidTr="00BA6F83">
        <w:trPr>
          <w:trHeight w:val="651"/>
        </w:trPr>
        <w:tc>
          <w:tcPr>
            <w:tcW w:w="5870" w:type="dxa"/>
            <w:tcBorders>
              <w:top w:val="nil"/>
              <w:left w:val="single" w:sz="8" w:space="0" w:color="auto"/>
              <w:bottom w:val="single" w:sz="8" w:space="0" w:color="auto"/>
              <w:right w:val="single" w:sz="8" w:space="0" w:color="auto"/>
            </w:tcBorders>
            <w:vAlign w:val="center"/>
            <w:hideMark/>
          </w:tcPr>
          <w:p w14:paraId="6BA50B70"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Clasificación de procesos, de acuerdo a umbrales correspondientes.</w:t>
            </w:r>
          </w:p>
        </w:tc>
        <w:tc>
          <w:tcPr>
            <w:tcW w:w="2580" w:type="dxa"/>
            <w:tcBorders>
              <w:top w:val="nil"/>
              <w:left w:val="nil"/>
              <w:bottom w:val="single" w:sz="8" w:space="0" w:color="auto"/>
              <w:right w:val="single" w:sz="8" w:space="0" w:color="auto"/>
            </w:tcBorders>
            <w:shd w:val="clear" w:color="000000" w:fill="FFFFFF"/>
            <w:noWrap/>
            <w:vAlign w:val="center"/>
            <w:hideMark/>
          </w:tcPr>
          <w:p w14:paraId="35B4AC9E"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0%</w:t>
            </w:r>
          </w:p>
        </w:tc>
      </w:tr>
      <w:tr w:rsidR="003944F9" w:rsidRPr="00ED72B2" w14:paraId="1A781179"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4359228F"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Evaluaciones del SISCOMPRA</w:t>
            </w:r>
          </w:p>
        </w:tc>
        <w:tc>
          <w:tcPr>
            <w:tcW w:w="2580" w:type="dxa"/>
            <w:tcBorders>
              <w:top w:val="nil"/>
              <w:left w:val="nil"/>
              <w:bottom w:val="single" w:sz="8" w:space="0" w:color="auto"/>
              <w:right w:val="single" w:sz="8" w:space="0" w:color="auto"/>
            </w:tcBorders>
            <w:shd w:val="clear" w:color="000000" w:fill="FFFFFF"/>
            <w:noWrap/>
            <w:vAlign w:val="center"/>
            <w:hideMark/>
          </w:tcPr>
          <w:p w14:paraId="4D8FA349"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0%</w:t>
            </w:r>
          </w:p>
        </w:tc>
      </w:tr>
      <w:tr w:rsidR="003944F9" w:rsidRPr="00ED72B2" w14:paraId="4F807DFE" w14:textId="77777777" w:rsidTr="00BA6F83">
        <w:trPr>
          <w:trHeight w:val="651"/>
        </w:trPr>
        <w:tc>
          <w:tcPr>
            <w:tcW w:w="5870" w:type="dxa"/>
            <w:tcBorders>
              <w:top w:val="nil"/>
              <w:left w:val="single" w:sz="8" w:space="0" w:color="auto"/>
              <w:bottom w:val="single" w:sz="8" w:space="0" w:color="auto"/>
              <w:right w:val="single" w:sz="8" w:space="0" w:color="auto"/>
            </w:tcBorders>
            <w:vAlign w:val="center"/>
            <w:hideMark/>
          </w:tcPr>
          <w:p w14:paraId="0B42FC4B"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Recepción de ingresos producto de las actividades de la Institución.</w:t>
            </w:r>
          </w:p>
        </w:tc>
        <w:tc>
          <w:tcPr>
            <w:tcW w:w="2580" w:type="dxa"/>
            <w:tcBorders>
              <w:top w:val="nil"/>
              <w:left w:val="nil"/>
              <w:bottom w:val="single" w:sz="8" w:space="0" w:color="auto"/>
              <w:right w:val="single" w:sz="8" w:space="0" w:color="auto"/>
            </w:tcBorders>
            <w:shd w:val="clear" w:color="000000" w:fill="FFFFFF"/>
            <w:noWrap/>
            <w:vAlign w:val="center"/>
            <w:hideMark/>
          </w:tcPr>
          <w:p w14:paraId="23D5789A"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25DF4B71" w14:textId="77777777" w:rsidTr="00BA6F83">
        <w:trPr>
          <w:trHeight w:val="651"/>
        </w:trPr>
        <w:tc>
          <w:tcPr>
            <w:tcW w:w="5870" w:type="dxa"/>
            <w:tcBorders>
              <w:top w:val="nil"/>
              <w:left w:val="single" w:sz="8" w:space="0" w:color="auto"/>
              <w:bottom w:val="single" w:sz="8" w:space="0" w:color="auto"/>
              <w:right w:val="single" w:sz="8" w:space="0" w:color="auto"/>
            </w:tcBorders>
            <w:vAlign w:val="center"/>
            <w:hideMark/>
          </w:tcPr>
          <w:p w14:paraId="0F6E4F25"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Ejecución de los pagos de sueldos y otros compromisos al personal institucional.</w:t>
            </w:r>
          </w:p>
        </w:tc>
        <w:tc>
          <w:tcPr>
            <w:tcW w:w="2580" w:type="dxa"/>
            <w:tcBorders>
              <w:top w:val="nil"/>
              <w:left w:val="nil"/>
              <w:bottom w:val="single" w:sz="8" w:space="0" w:color="auto"/>
              <w:right w:val="single" w:sz="8" w:space="0" w:color="auto"/>
            </w:tcBorders>
            <w:shd w:val="clear" w:color="000000" w:fill="FFFFFF"/>
            <w:noWrap/>
            <w:vAlign w:val="center"/>
            <w:hideMark/>
          </w:tcPr>
          <w:p w14:paraId="15DEF810"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091258D1"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025DE86D"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Ejecución de los pagos a suplidores.</w:t>
            </w:r>
          </w:p>
        </w:tc>
        <w:tc>
          <w:tcPr>
            <w:tcW w:w="2580" w:type="dxa"/>
            <w:tcBorders>
              <w:top w:val="nil"/>
              <w:left w:val="nil"/>
              <w:bottom w:val="single" w:sz="8" w:space="0" w:color="auto"/>
              <w:right w:val="single" w:sz="8" w:space="0" w:color="auto"/>
            </w:tcBorders>
            <w:shd w:val="clear" w:color="000000" w:fill="FFFFFF"/>
            <w:noWrap/>
            <w:vAlign w:val="center"/>
            <w:hideMark/>
          </w:tcPr>
          <w:p w14:paraId="67AA3DD1"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53D7EACF"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1FE604E6"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Estados Financieros Mensuales.</w:t>
            </w:r>
          </w:p>
        </w:tc>
        <w:tc>
          <w:tcPr>
            <w:tcW w:w="2580" w:type="dxa"/>
            <w:tcBorders>
              <w:top w:val="nil"/>
              <w:left w:val="nil"/>
              <w:bottom w:val="single" w:sz="8" w:space="0" w:color="auto"/>
              <w:right w:val="single" w:sz="8" w:space="0" w:color="auto"/>
            </w:tcBorders>
            <w:shd w:val="clear" w:color="000000" w:fill="FFFFFF"/>
            <w:noWrap/>
            <w:vAlign w:val="center"/>
            <w:hideMark/>
          </w:tcPr>
          <w:p w14:paraId="56569D28"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76535400"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1D57FAE4"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Informes Mensuales de Ejecución Presupuestaria</w:t>
            </w:r>
          </w:p>
        </w:tc>
        <w:tc>
          <w:tcPr>
            <w:tcW w:w="2580" w:type="dxa"/>
            <w:tcBorders>
              <w:top w:val="nil"/>
              <w:left w:val="nil"/>
              <w:bottom w:val="single" w:sz="8" w:space="0" w:color="auto"/>
              <w:right w:val="single" w:sz="8" w:space="0" w:color="auto"/>
            </w:tcBorders>
            <w:shd w:val="clear" w:color="000000" w:fill="FFFFFF"/>
            <w:noWrap/>
            <w:vAlign w:val="center"/>
            <w:hideMark/>
          </w:tcPr>
          <w:p w14:paraId="5340C1B0"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2199ADEF"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75CA86BF"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Reporte mensual de uso de camiones.</w:t>
            </w:r>
          </w:p>
        </w:tc>
        <w:tc>
          <w:tcPr>
            <w:tcW w:w="2580" w:type="dxa"/>
            <w:tcBorders>
              <w:top w:val="nil"/>
              <w:left w:val="nil"/>
              <w:bottom w:val="single" w:sz="8" w:space="0" w:color="auto"/>
              <w:right w:val="single" w:sz="8" w:space="0" w:color="auto"/>
            </w:tcBorders>
            <w:shd w:val="clear" w:color="000000" w:fill="FFFFFF"/>
            <w:noWrap/>
            <w:vAlign w:val="center"/>
            <w:hideMark/>
          </w:tcPr>
          <w:p w14:paraId="75A04C3D"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67%</w:t>
            </w:r>
          </w:p>
        </w:tc>
      </w:tr>
      <w:tr w:rsidR="003944F9" w:rsidRPr="00ED72B2" w14:paraId="480EFD6D"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1FB26159"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Asignación de combustible.</w:t>
            </w:r>
          </w:p>
        </w:tc>
        <w:tc>
          <w:tcPr>
            <w:tcW w:w="2580" w:type="dxa"/>
            <w:tcBorders>
              <w:top w:val="nil"/>
              <w:left w:val="nil"/>
              <w:bottom w:val="single" w:sz="8" w:space="0" w:color="auto"/>
              <w:right w:val="single" w:sz="8" w:space="0" w:color="auto"/>
            </w:tcBorders>
            <w:shd w:val="clear" w:color="000000" w:fill="FFFFFF"/>
            <w:noWrap/>
            <w:vAlign w:val="center"/>
            <w:hideMark/>
          </w:tcPr>
          <w:p w14:paraId="194D5DAA"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33%</w:t>
            </w:r>
          </w:p>
        </w:tc>
      </w:tr>
      <w:tr w:rsidR="003944F9" w:rsidRPr="00ED72B2" w14:paraId="6EE8FE3D"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021D210F" w14:textId="57245A8B"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Distribución de viáticos de transporte al personal.</w:t>
            </w:r>
          </w:p>
        </w:tc>
        <w:tc>
          <w:tcPr>
            <w:tcW w:w="2580" w:type="dxa"/>
            <w:tcBorders>
              <w:top w:val="nil"/>
              <w:left w:val="nil"/>
              <w:bottom w:val="single" w:sz="8" w:space="0" w:color="auto"/>
              <w:right w:val="single" w:sz="8" w:space="0" w:color="auto"/>
            </w:tcBorders>
            <w:shd w:val="clear" w:color="000000" w:fill="FFFFFF"/>
            <w:noWrap/>
            <w:vAlign w:val="center"/>
            <w:hideMark/>
          </w:tcPr>
          <w:p w14:paraId="3289E37D"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0%</w:t>
            </w:r>
          </w:p>
        </w:tc>
      </w:tr>
      <w:tr w:rsidR="003944F9" w:rsidRPr="00ED72B2" w14:paraId="00C49F30"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7B6E541B"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Limpieza de la Institución.</w:t>
            </w:r>
          </w:p>
        </w:tc>
        <w:tc>
          <w:tcPr>
            <w:tcW w:w="2580" w:type="dxa"/>
            <w:tcBorders>
              <w:top w:val="nil"/>
              <w:left w:val="nil"/>
              <w:bottom w:val="single" w:sz="8" w:space="0" w:color="auto"/>
              <w:right w:val="single" w:sz="8" w:space="0" w:color="auto"/>
            </w:tcBorders>
            <w:shd w:val="clear" w:color="000000" w:fill="FFFFFF"/>
            <w:noWrap/>
            <w:vAlign w:val="center"/>
            <w:hideMark/>
          </w:tcPr>
          <w:p w14:paraId="529D8A04"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100%</w:t>
            </w:r>
          </w:p>
        </w:tc>
      </w:tr>
      <w:tr w:rsidR="003944F9" w:rsidRPr="00ED72B2" w14:paraId="32D12455" w14:textId="77777777" w:rsidTr="00BA6F83">
        <w:trPr>
          <w:trHeight w:val="651"/>
        </w:trPr>
        <w:tc>
          <w:tcPr>
            <w:tcW w:w="5870" w:type="dxa"/>
            <w:tcBorders>
              <w:top w:val="nil"/>
              <w:left w:val="single" w:sz="8" w:space="0" w:color="auto"/>
              <w:bottom w:val="single" w:sz="8" w:space="0" w:color="auto"/>
              <w:right w:val="single" w:sz="8" w:space="0" w:color="auto"/>
            </w:tcBorders>
            <w:vAlign w:val="center"/>
            <w:hideMark/>
          </w:tcPr>
          <w:p w14:paraId="121B9EDA"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Mantenimiento preventivo en todas las instalaciones de la Institución.</w:t>
            </w:r>
          </w:p>
        </w:tc>
        <w:tc>
          <w:tcPr>
            <w:tcW w:w="2580" w:type="dxa"/>
            <w:tcBorders>
              <w:top w:val="nil"/>
              <w:left w:val="nil"/>
              <w:bottom w:val="single" w:sz="8" w:space="0" w:color="auto"/>
              <w:right w:val="single" w:sz="8" w:space="0" w:color="auto"/>
            </w:tcBorders>
            <w:shd w:val="clear" w:color="000000" w:fill="FFFFFF"/>
            <w:noWrap/>
            <w:vAlign w:val="center"/>
            <w:hideMark/>
          </w:tcPr>
          <w:p w14:paraId="48A9BD54"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63%</w:t>
            </w:r>
          </w:p>
        </w:tc>
      </w:tr>
      <w:tr w:rsidR="003944F9" w:rsidRPr="00ED72B2" w14:paraId="461B8323" w14:textId="77777777" w:rsidTr="00BA6F83">
        <w:trPr>
          <w:trHeight w:val="331"/>
        </w:trPr>
        <w:tc>
          <w:tcPr>
            <w:tcW w:w="5870" w:type="dxa"/>
            <w:tcBorders>
              <w:top w:val="nil"/>
              <w:left w:val="single" w:sz="8" w:space="0" w:color="auto"/>
              <w:bottom w:val="single" w:sz="8" w:space="0" w:color="auto"/>
              <w:right w:val="single" w:sz="8" w:space="0" w:color="auto"/>
            </w:tcBorders>
            <w:vAlign w:val="center"/>
            <w:hideMark/>
          </w:tcPr>
          <w:p w14:paraId="1C6BA6C0" w14:textId="77777777" w:rsidR="003944F9" w:rsidRPr="00ED72B2" w:rsidRDefault="003944F9" w:rsidP="003944F9">
            <w:pPr>
              <w:spacing w:after="0" w:line="240" w:lineRule="auto"/>
              <w:rPr>
                <w:rFonts w:ascii="Times New Roman" w:hAnsi="Times New Roman"/>
                <w:color w:val="000000"/>
                <w:sz w:val="24"/>
                <w:szCs w:val="24"/>
                <w:lang w:eastAsia="es-DO"/>
              </w:rPr>
            </w:pPr>
            <w:r w:rsidRPr="00ED72B2">
              <w:rPr>
                <w:rFonts w:ascii="Times New Roman" w:hAnsi="Times New Roman"/>
                <w:color w:val="000000"/>
                <w:sz w:val="24"/>
                <w:szCs w:val="24"/>
                <w:lang w:eastAsia="es-DO"/>
              </w:rPr>
              <w:t>Reparaciones en todas las instalaciones de la institución.</w:t>
            </w:r>
          </w:p>
        </w:tc>
        <w:tc>
          <w:tcPr>
            <w:tcW w:w="2580" w:type="dxa"/>
            <w:tcBorders>
              <w:top w:val="nil"/>
              <w:left w:val="nil"/>
              <w:bottom w:val="single" w:sz="8" w:space="0" w:color="auto"/>
              <w:right w:val="single" w:sz="8" w:space="0" w:color="auto"/>
            </w:tcBorders>
            <w:shd w:val="clear" w:color="000000" w:fill="FFFFFF"/>
            <w:noWrap/>
            <w:vAlign w:val="center"/>
            <w:hideMark/>
          </w:tcPr>
          <w:p w14:paraId="68E8CD5E" w14:textId="77777777" w:rsidR="003944F9" w:rsidRPr="00ED72B2" w:rsidRDefault="003944F9" w:rsidP="003944F9">
            <w:pPr>
              <w:spacing w:after="0" w:line="240" w:lineRule="auto"/>
              <w:jc w:val="center"/>
              <w:rPr>
                <w:rFonts w:ascii="Times New Roman" w:hAnsi="Times New Roman"/>
                <w:color w:val="000000"/>
                <w:sz w:val="24"/>
                <w:szCs w:val="24"/>
                <w:lang w:eastAsia="es-DO"/>
              </w:rPr>
            </w:pPr>
            <w:r w:rsidRPr="00ED72B2">
              <w:rPr>
                <w:rFonts w:ascii="Times New Roman" w:hAnsi="Times New Roman"/>
                <w:color w:val="000000"/>
                <w:sz w:val="24"/>
                <w:szCs w:val="24"/>
                <w:lang w:eastAsia="es-DO"/>
              </w:rPr>
              <w:t>64%</w:t>
            </w:r>
          </w:p>
        </w:tc>
      </w:tr>
      <w:tr w:rsidR="003944F9" w:rsidRPr="00ED72B2" w14:paraId="024C4750" w14:textId="77777777" w:rsidTr="00BA6F83">
        <w:trPr>
          <w:trHeight w:val="320"/>
        </w:trPr>
        <w:tc>
          <w:tcPr>
            <w:tcW w:w="5870" w:type="dxa"/>
            <w:tcBorders>
              <w:top w:val="nil"/>
              <w:left w:val="single" w:sz="8" w:space="0" w:color="auto"/>
              <w:bottom w:val="single" w:sz="8" w:space="0" w:color="auto"/>
              <w:right w:val="single" w:sz="8" w:space="0" w:color="auto"/>
            </w:tcBorders>
            <w:shd w:val="clear" w:color="000000" w:fill="002060"/>
            <w:noWrap/>
            <w:vAlign w:val="center"/>
            <w:hideMark/>
          </w:tcPr>
          <w:p w14:paraId="2882B673" w14:textId="77777777" w:rsidR="003944F9" w:rsidRPr="00ED72B2" w:rsidRDefault="003944F9" w:rsidP="003944F9">
            <w:pPr>
              <w:spacing w:after="0" w:line="240" w:lineRule="auto"/>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lastRenderedPageBreak/>
              <w:t>Porcentaje total de cumplimiento</w:t>
            </w:r>
          </w:p>
        </w:tc>
        <w:tc>
          <w:tcPr>
            <w:tcW w:w="2580" w:type="dxa"/>
            <w:tcBorders>
              <w:top w:val="nil"/>
              <w:left w:val="nil"/>
              <w:bottom w:val="single" w:sz="8" w:space="0" w:color="auto"/>
              <w:right w:val="single" w:sz="8" w:space="0" w:color="auto"/>
            </w:tcBorders>
            <w:shd w:val="clear" w:color="000000" w:fill="002060"/>
            <w:noWrap/>
            <w:vAlign w:val="center"/>
            <w:hideMark/>
          </w:tcPr>
          <w:p w14:paraId="399E205C" w14:textId="50B6A911" w:rsidR="003944F9" w:rsidRPr="00ED72B2" w:rsidRDefault="003944F9" w:rsidP="003944F9">
            <w:pPr>
              <w:spacing w:after="0" w:line="240" w:lineRule="auto"/>
              <w:jc w:val="center"/>
              <w:rPr>
                <w:rFonts w:ascii="Times New Roman" w:hAnsi="Times New Roman"/>
                <w:b/>
                <w:bCs/>
                <w:color w:val="FFFFFF"/>
                <w:sz w:val="24"/>
                <w:szCs w:val="24"/>
                <w:lang w:eastAsia="es-DO"/>
              </w:rPr>
            </w:pPr>
            <w:r w:rsidRPr="00ED72B2">
              <w:rPr>
                <w:rFonts w:ascii="Times New Roman" w:hAnsi="Times New Roman"/>
                <w:b/>
                <w:bCs/>
                <w:color w:val="FFFFFF"/>
                <w:sz w:val="24"/>
                <w:szCs w:val="24"/>
                <w:lang w:eastAsia="es-DO"/>
              </w:rPr>
              <w:t>5</w:t>
            </w:r>
            <w:r w:rsidR="005516B3">
              <w:rPr>
                <w:rFonts w:ascii="Times New Roman" w:hAnsi="Times New Roman"/>
                <w:b/>
                <w:bCs/>
                <w:color w:val="FFFFFF"/>
                <w:sz w:val="24"/>
                <w:szCs w:val="24"/>
                <w:lang w:eastAsia="es-DO"/>
              </w:rPr>
              <w:t>3</w:t>
            </w:r>
            <w:r w:rsidRPr="00ED72B2">
              <w:rPr>
                <w:rFonts w:ascii="Times New Roman" w:hAnsi="Times New Roman"/>
                <w:b/>
                <w:bCs/>
                <w:color w:val="FFFFFF"/>
                <w:sz w:val="24"/>
                <w:szCs w:val="24"/>
                <w:lang w:eastAsia="es-DO"/>
              </w:rPr>
              <w:t>%</w:t>
            </w:r>
          </w:p>
        </w:tc>
      </w:tr>
      <w:tr w:rsidR="003944F9" w:rsidRPr="00ED72B2" w14:paraId="32352994" w14:textId="77777777" w:rsidTr="00BA6F83">
        <w:trPr>
          <w:trHeight w:val="150"/>
        </w:trPr>
        <w:tc>
          <w:tcPr>
            <w:tcW w:w="8451" w:type="dxa"/>
            <w:gridSpan w:val="2"/>
            <w:tcBorders>
              <w:top w:val="single" w:sz="8" w:space="0" w:color="auto"/>
              <w:left w:val="nil"/>
              <w:bottom w:val="nil"/>
              <w:right w:val="nil"/>
            </w:tcBorders>
            <w:vAlign w:val="center"/>
            <w:hideMark/>
          </w:tcPr>
          <w:p w14:paraId="43586C07" w14:textId="77777777" w:rsidR="003944F9" w:rsidRPr="00ED72B2" w:rsidRDefault="003944F9" w:rsidP="003944F9">
            <w:pPr>
              <w:spacing w:after="0" w:line="240" w:lineRule="auto"/>
              <w:jc w:val="center"/>
              <w:rPr>
                <w:rFonts w:ascii="Times New Roman" w:hAnsi="Times New Roman"/>
                <w:b/>
                <w:bCs/>
                <w:i/>
                <w:iCs/>
                <w:color w:val="000000"/>
                <w:sz w:val="18"/>
                <w:szCs w:val="18"/>
                <w:lang w:eastAsia="es-DO"/>
              </w:rPr>
            </w:pPr>
            <w:r w:rsidRPr="00ED72B2">
              <w:rPr>
                <w:rFonts w:ascii="Times New Roman" w:hAnsi="Times New Roman"/>
                <w:b/>
                <w:bCs/>
                <w:i/>
                <w:iCs/>
                <w:color w:val="000000"/>
                <w:sz w:val="18"/>
                <w:szCs w:val="18"/>
                <w:lang w:eastAsia="es-DO"/>
              </w:rPr>
              <w:t>Fuente</w:t>
            </w:r>
            <w:r w:rsidRPr="00ED72B2">
              <w:rPr>
                <w:rFonts w:ascii="Times New Roman" w:hAnsi="Times New Roman"/>
                <w:i/>
                <w:iCs/>
                <w:color w:val="000000"/>
                <w:sz w:val="18"/>
                <w:szCs w:val="18"/>
                <w:lang w:eastAsia="es-DO"/>
              </w:rPr>
              <w:t>: elaboración propia con datos obtenidos de las ejecuciones del POA 2026 de la Dirección Administrativa Financiera.</w:t>
            </w:r>
          </w:p>
        </w:tc>
      </w:tr>
    </w:tbl>
    <w:p w14:paraId="54EE058F" w14:textId="77777777" w:rsidR="00ED72B2" w:rsidRDefault="00ED72B2" w:rsidP="00ED72B2">
      <w:pPr>
        <w:jc w:val="both"/>
        <w:rPr>
          <w:rFonts w:ascii="Times New Roman" w:hAnsi="Times New Roman"/>
          <w:sz w:val="24"/>
          <w:szCs w:val="24"/>
        </w:rPr>
      </w:pPr>
    </w:p>
    <w:p w14:paraId="5D3B4FE2" w14:textId="77777777" w:rsidR="00ED72B2" w:rsidRPr="00ED72B2" w:rsidRDefault="00ED72B2" w:rsidP="00ED72B2">
      <w:pPr>
        <w:jc w:val="both"/>
        <w:rPr>
          <w:rFonts w:ascii="Times New Roman" w:hAnsi="Times New Roman"/>
          <w:i/>
          <w:iCs/>
          <w:sz w:val="18"/>
          <w:szCs w:val="18"/>
        </w:rPr>
      </w:pPr>
    </w:p>
    <w:p w14:paraId="50BE7FD4" w14:textId="5B906F33" w:rsidR="00ED72B2" w:rsidRDefault="00ED72B2" w:rsidP="00ED72B2">
      <w:pPr>
        <w:pStyle w:val="Ttulo1"/>
        <w:numPr>
          <w:ilvl w:val="0"/>
          <w:numId w:val="1"/>
        </w:numPr>
        <w:spacing w:line="360" w:lineRule="auto"/>
        <w:ind w:left="0"/>
        <w:rPr>
          <w:rFonts w:ascii="Times New Roman" w:hAnsi="Times New Roman" w:cs="Times New Roman"/>
          <w:b/>
          <w:bCs/>
          <w:sz w:val="24"/>
          <w:szCs w:val="24"/>
        </w:rPr>
      </w:pPr>
      <w:bookmarkStart w:id="39" w:name="_Toc226973091"/>
      <w:r w:rsidRPr="00ED72B2">
        <w:rPr>
          <w:rFonts w:ascii="Times New Roman" w:hAnsi="Times New Roman" w:cs="Times New Roman"/>
          <w:b/>
          <w:bCs/>
          <w:sz w:val="24"/>
          <w:szCs w:val="24"/>
        </w:rPr>
        <w:t>Dirección Agropecuaria, Normas y Tecnología Alimentaria</w:t>
      </w:r>
      <w:bookmarkEnd w:id="39"/>
    </w:p>
    <w:p w14:paraId="0868EE65" w14:textId="04D78728" w:rsidR="00F80D77" w:rsidRDefault="00F80D77" w:rsidP="00F80D77">
      <w:pPr>
        <w:jc w:val="both"/>
        <w:rPr>
          <w:rFonts w:ascii="Times New Roman" w:hAnsi="Times New Roman"/>
          <w:sz w:val="24"/>
          <w:szCs w:val="24"/>
        </w:rPr>
      </w:pPr>
      <w:r w:rsidRPr="00F80D77">
        <w:rPr>
          <w:rFonts w:ascii="Times New Roman" w:hAnsi="Times New Roman"/>
          <w:sz w:val="24"/>
          <w:szCs w:val="24"/>
        </w:rPr>
        <w:t>Las actividades vinculadas al adiestramiento a técnicos agropecuarios y la certificación de calidad de productos agropecuarios presentaron niveles de ejecución por debajo de lo programado, debido a limitaciones en la disponibilidad de recursos presupuestarios durante el período evaluado. Esta situación incidió en la planificación y ejecución oportuna de las acciones formativas y de certificación, priorizándose aquellas actividades operativas esenciales, como la implementación de controles de plagas en las instalaciones institucionales, la cual alcanzó un 100% de ejecución. No obstante, se prevé la reprogramación y fortalecimiento de estas actividades en los períodos subsiguientes, en función de la disponibilidad de recursos.</w:t>
      </w:r>
    </w:p>
    <w:tbl>
      <w:tblPr>
        <w:tblW w:w="8520" w:type="dxa"/>
        <w:tblCellMar>
          <w:left w:w="70" w:type="dxa"/>
          <w:right w:w="70" w:type="dxa"/>
        </w:tblCellMar>
        <w:tblLook w:val="04A0" w:firstRow="1" w:lastRow="0" w:firstColumn="1" w:lastColumn="0" w:noHBand="0" w:noVBand="1"/>
      </w:tblPr>
      <w:tblGrid>
        <w:gridCol w:w="5918"/>
        <w:gridCol w:w="2602"/>
      </w:tblGrid>
      <w:tr w:rsidR="00F80D77" w:rsidRPr="00F80D77" w14:paraId="651F9EDC" w14:textId="77777777" w:rsidTr="00BA6F83">
        <w:trPr>
          <w:trHeight w:val="718"/>
        </w:trPr>
        <w:tc>
          <w:tcPr>
            <w:tcW w:w="8520" w:type="dxa"/>
            <w:gridSpan w:val="2"/>
            <w:tcBorders>
              <w:top w:val="nil"/>
              <w:left w:val="nil"/>
              <w:bottom w:val="single" w:sz="8" w:space="0" w:color="auto"/>
              <w:right w:val="nil"/>
            </w:tcBorders>
            <w:vAlign w:val="center"/>
            <w:hideMark/>
          </w:tcPr>
          <w:p w14:paraId="7F1509A3" w14:textId="1218AD4A" w:rsidR="00F80D77" w:rsidRPr="00F80D77" w:rsidRDefault="00F80D77" w:rsidP="00F80D77">
            <w:pPr>
              <w:spacing w:after="0" w:line="240" w:lineRule="auto"/>
              <w:jc w:val="center"/>
              <w:rPr>
                <w:rFonts w:ascii="Times New Roman" w:hAnsi="Times New Roman"/>
                <w:b/>
                <w:bCs/>
                <w:color w:val="000000"/>
                <w:lang w:eastAsia="es-DO"/>
              </w:rPr>
            </w:pPr>
            <w:r w:rsidRPr="00F80D77">
              <w:rPr>
                <w:rFonts w:ascii="Times New Roman" w:hAnsi="Times New Roman"/>
                <w:b/>
                <w:bCs/>
                <w:color w:val="000000"/>
                <w:lang w:eastAsia="es-DO"/>
              </w:rPr>
              <w:t>Tabla 15</w:t>
            </w:r>
            <w:r w:rsidRPr="00F80D77">
              <w:rPr>
                <w:rFonts w:ascii="Times New Roman" w:hAnsi="Times New Roman"/>
                <w:b/>
                <w:bCs/>
                <w:lang w:eastAsia="es-DO"/>
              </w:rPr>
              <w:t>.</w:t>
            </w:r>
            <w:r w:rsidRPr="00F80D77">
              <w:rPr>
                <w:rFonts w:ascii="Times New Roman" w:hAnsi="Times New Roman"/>
                <w:color w:val="000000"/>
                <w:lang w:eastAsia="es-DO"/>
              </w:rPr>
              <w:t xml:space="preserve"> Resultados de la Dirección Agropecuaria, Normas y Tecnología Alimentaria, según objetivo, 2026.</w:t>
            </w:r>
          </w:p>
        </w:tc>
      </w:tr>
      <w:tr w:rsidR="00F80D77" w:rsidRPr="00F80D77" w14:paraId="69816C29" w14:textId="77777777" w:rsidTr="00BA6F83">
        <w:trPr>
          <w:trHeight w:val="316"/>
        </w:trPr>
        <w:tc>
          <w:tcPr>
            <w:tcW w:w="8520" w:type="dxa"/>
            <w:gridSpan w:val="2"/>
            <w:tcBorders>
              <w:top w:val="single" w:sz="8" w:space="0" w:color="auto"/>
              <w:left w:val="single" w:sz="8" w:space="0" w:color="auto"/>
              <w:bottom w:val="single" w:sz="8" w:space="0" w:color="auto"/>
              <w:right w:val="single" w:sz="8" w:space="0" w:color="auto"/>
            </w:tcBorders>
            <w:shd w:val="clear" w:color="000000" w:fill="808080"/>
            <w:noWrap/>
            <w:vAlign w:val="center"/>
            <w:hideMark/>
          </w:tcPr>
          <w:p w14:paraId="091E4673" w14:textId="77777777" w:rsidR="00F80D77" w:rsidRPr="00F80D77" w:rsidRDefault="00F80D77" w:rsidP="00F80D77">
            <w:pPr>
              <w:spacing w:after="0" w:line="240" w:lineRule="auto"/>
              <w:jc w:val="center"/>
              <w:rPr>
                <w:rFonts w:ascii="Times New Roman" w:hAnsi="Times New Roman"/>
                <w:b/>
                <w:bCs/>
                <w:color w:val="FFFFFF"/>
                <w:sz w:val="24"/>
                <w:szCs w:val="24"/>
                <w:lang w:eastAsia="es-DO"/>
              </w:rPr>
            </w:pPr>
            <w:r w:rsidRPr="00F80D77">
              <w:rPr>
                <w:rFonts w:ascii="Times New Roman" w:hAnsi="Times New Roman"/>
                <w:b/>
                <w:bCs/>
                <w:color w:val="FFFFFF"/>
                <w:sz w:val="24"/>
                <w:szCs w:val="24"/>
                <w:lang w:eastAsia="es-DO"/>
              </w:rPr>
              <w:t>Dirección Agropecuaria, Normas y Tecnología Alimentaria</w:t>
            </w:r>
          </w:p>
        </w:tc>
      </w:tr>
      <w:tr w:rsidR="00F80D77" w:rsidRPr="00F80D77" w14:paraId="6F742E38" w14:textId="77777777" w:rsidTr="00BA6F83">
        <w:trPr>
          <w:trHeight w:val="316"/>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251F5E8D" w14:textId="0B843488" w:rsidR="00F80D77" w:rsidRPr="00F80D77" w:rsidRDefault="005545E1" w:rsidP="00F80D77">
            <w:pPr>
              <w:spacing w:after="0" w:line="240" w:lineRule="auto"/>
              <w:jc w:val="center"/>
              <w:rPr>
                <w:rFonts w:ascii="Times New Roman" w:hAnsi="Times New Roman"/>
                <w:b/>
                <w:bCs/>
                <w:color w:val="FFFFFF"/>
                <w:sz w:val="24"/>
                <w:szCs w:val="24"/>
                <w:lang w:eastAsia="es-DO"/>
              </w:rPr>
            </w:pPr>
            <w:r>
              <w:rPr>
                <w:rFonts w:ascii="Times New Roman" w:hAnsi="Times New Roman"/>
                <w:b/>
                <w:bCs/>
                <w:color w:val="FFFFFF"/>
                <w:sz w:val="24"/>
                <w:szCs w:val="24"/>
                <w:lang w:eastAsia="es-DO"/>
              </w:rPr>
              <w:t>Actividad</w:t>
            </w:r>
          </w:p>
        </w:tc>
        <w:tc>
          <w:tcPr>
            <w:tcW w:w="2602" w:type="dxa"/>
            <w:tcBorders>
              <w:top w:val="nil"/>
              <w:left w:val="nil"/>
              <w:bottom w:val="single" w:sz="8" w:space="0" w:color="auto"/>
              <w:right w:val="single" w:sz="8" w:space="0" w:color="auto"/>
            </w:tcBorders>
            <w:shd w:val="clear" w:color="000000" w:fill="002060"/>
            <w:noWrap/>
            <w:vAlign w:val="center"/>
            <w:hideMark/>
          </w:tcPr>
          <w:p w14:paraId="3F7B1227" w14:textId="77777777" w:rsidR="00F80D77" w:rsidRPr="00F80D77" w:rsidRDefault="00F80D77" w:rsidP="00F80D77">
            <w:pPr>
              <w:spacing w:after="0" w:line="240" w:lineRule="auto"/>
              <w:jc w:val="center"/>
              <w:rPr>
                <w:rFonts w:ascii="Times New Roman" w:hAnsi="Times New Roman"/>
                <w:b/>
                <w:bCs/>
                <w:color w:val="FFFFFF"/>
                <w:sz w:val="24"/>
                <w:szCs w:val="24"/>
                <w:lang w:eastAsia="es-DO"/>
              </w:rPr>
            </w:pPr>
            <w:r w:rsidRPr="00F80D77">
              <w:rPr>
                <w:rFonts w:ascii="Times New Roman" w:hAnsi="Times New Roman"/>
                <w:b/>
                <w:bCs/>
                <w:color w:val="FFFFFF"/>
                <w:sz w:val="24"/>
                <w:szCs w:val="24"/>
                <w:lang w:eastAsia="es-DO"/>
              </w:rPr>
              <w:t>% Cumplimiento</w:t>
            </w:r>
          </w:p>
        </w:tc>
      </w:tr>
      <w:tr w:rsidR="00F80D77" w:rsidRPr="00F80D77" w14:paraId="01261213" w14:textId="77777777" w:rsidTr="00BA6F83">
        <w:trPr>
          <w:trHeight w:val="1431"/>
        </w:trPr>
        <w:tc>
          <w:tcPr>
            <w:tcW w:w="5918" w:type="dxa"/>
            <w:tcBorders>
              <w:top w:val="nil"/>
              <w:left w:val="single" w:sz="8" w:space="0" w:color="auto"/>
              <w:bottom w:val="single" w:sz="8" w:space="0" w:color="auto"/>
              <w:right w:val="single" w:sz="8" w:space="0" w:color="auto"/>
            </w:tcBorders>
            <w:vAlign w:val="center"/>
            <w:hideMark/>
          </w:tcPr>
          <w:p w14:paraId="571E0231" w14:textId="77777777" w:rsidR="00F80D77" w:rsidRPr="00F80D77" w:rsidRDefault="00F80D77" w:rsidP="00F80D77">
            <w:pPr>
              <w:spacing w:after="0" w:line="240" w:lineRule="auto"/>
              <w:rPr>
                <w:rFonts w:ascii="Times New Roman" w:hAnsi="Times New Roman"/>
                <w:color w:val="000000"/>
                <w:sz w:val="24"/>
                <w:szCs w:val="24"/>
                <w:lang w:eastAsia="es-DO"/>
              </w:rPr>
            </w:pPr>
            <w:r w:rsidRPr="00F80D77">
              <w:rPr>
                <w:rFonts w:ascii="Times New Roman" w:hAnsi="Times New Roman"/>
                <w:color w:val="000000"/>
                <w:sz w:val="24"/>
                <w:szCs w:val="24"/>
                <w:lang w:eastAsia="es-DO"/>
              </w:rPr>
              <w:t>Adiestramiento a técnicos agropecuarios sobre aspectos de control de plagas, recepción de productos, almacenamiento y llenado de boletín (MP1).</w:t>
            </w:r>
          </w:p>
        </w:tc>
        <w:tc>
          <w:tcPr>
            <w:tcW w:w="2602" w:type="dxa"/>
            <w:tcBorders>
              <w:top w:val="nil"/>
              <w:left w:val="nil"/>
              <w:bottom w:val="single" w:sz="8" w:space="0" w:color="auto"/>
              <w:right w:val="single" w:sz="8" w:space="0" w:color="auto"/>
            </w:tcBorders>
            <w:noWrap/>
            <w:vAlign w:val="center"/>
            <w:hideMark/>
          </w:tcPr>
          <w:p w14:paraId="354708B7" w14:textId="77777777" w:rsidR="00F80D77" w:rsidRPr="00F80D77" w:rsidRDefault="00F80D77" w:rsidP="00F80D77">
            <w:pPr>
              <w:spacing w:after="0" w:line="240" w:lineRule="auto"/>
              <w:jc w:val="center"/>
              <w:rPr>
                <w:rFonts w:ascii="Times New Roman" w:hAnsi="Times New Roman"/>
                <w:color w:val="000000"/>
                <w:sz w:val="24"/>
                <w:szCs w:val="24"/>
                <w:lang w:eastAsia="es-DO"/>
              </w:rPr>
            </w:pPr>
            <w:r w:rsidRPr="00F80D77">
              <w:rPr>
                <w:rFonts w:ascii="Times New Roman" w:hAnsi="Times New Roman"/>
                <w:color w:val="000000"/>
                <w:sz w:val="24"/>
                <w:szCs w:val="24"/>
                <w:lang w:eastAsia="es-DO"/>
              </w:rPr>
              <w:t>0%</w:t>
            </w:r>
          </w:p>
        </w:tc>
      </w:tr>
      <w:tr w:rsidR="00F80D77" w:rsidRPr="00F80D77" w14:paraId="5A502242" w14:textId="77777777" w:rsidTr="00BA6F83">
        <w:trPr>
          <w:trHeight w:val="643"/>
        </w:trPr>
        <w:tc>
          <w:tcPr>
            <w:tcW w:w="5918" w:type="dxa"/>
            <w:tcBorders>
              <w:top w:val="nil"/>
              <w:left w:val="single" w:sz="8" w:space="0" w:color="auto"/>
              <w:bottom w:val="single" w:sz="8" w:space="0" w:color="auto"/>
              <w:right w:val="single" w:sz="8" w:space="0" w:color="auto"/>
            </w:tcBorders>
            <w:vAlign w:val="center"/>
            <w:hideMark/>
          </w:tcPr>
          <w:p w14:paraId="2C902238" w14:textId="77777777" w:rsidR="00F80D77" w:rsidRPr="00F80D77" w:rsidRDefault="00F80D77" w:rsidP="00F80D77">
            <w:pPr>
              <w:spacing w:after="0" w:line="240" w:lineRule="auto"/>
              <w:rPr>
                <w:rFonts w:ascii="Times New Roman" w:hAnsi="Times New Roman"/>
                <w:color w:val="000000"/>
                <w:sz w:val="24"/>
                <w:szCs w:val="24"/>
                <w:lang w:eastAsia="es-DO"/>
              </w:rPr>
            </w:pPr>
            <w:r w:rsidRPr="00F80D77">
              <w:rPr>
                <w:rFonts w:ascii="Times New Roman" w:hAnsi="Times New Roman"/>
                <w:color w:val="000000"/>
                <w:sz w:val="24"/>
                <w:szCs w:val="24"/>
                <w:lang w:eastAsia="es-DO"/>
              </w:rPr>
              <w:t>Implementación periódica de controles de plagas en instalaciones institucionales</w:t>
            </w:r>
          </w:p>
        </w:tc>
        <w:tc>
          <w:tcPr>
            <w:tcW w:w="2602" w:type="dxa"/>
            <w:tcBorders>
              <w:top w:val="nil"/>
              <w:left w:val="nil"/>
              <w:bottom w:val="single" w:sz="8" w:space="0" w:color="auto"/>
              <w:right w:val="single" w:sz="8" w:space="0" w:color="auto"/>
            </w:tcBorders>
            <w:noWrap/>
            <w:vAlign w:val="center"/>
            <w:hideMark/>
          </w:tcPr>
          <w:p w14:paraId="307D847B" w14:textId="77777777" w:rsidR="00F80D77" w:rsidRPr="00F80D77" w:rsidRDefault="00F80D77" w:rsidP="00F80D77">
            <w:pPr>
              <w:spacing w:after="0" w:line="240" w:lineRule="auto"/>
              <w:jc w:val="center"/>
              <w:rPr>
                <w:rFonts w:ascii="Times New Roman" w:hAnsi="Times New Roman"/>
                <w:color w:val="000000"/>
                <w:sz w:val="24"/>
                <w:szCs w:val="24"/>
                <w:lang w:eastAsia="es-DO"/>
              </w:rPr>
            </w:pPr>
            <w:r w:rsidRPr="00F80D77">
              <w:rPr>
                <w:rFonts w:ascii="Times New Roman" w:hAnsi="Times New Roman"/>
                <w:color w:val="000000"/>
                <w:sz w:val="24"/>
                <w:szCs w:val="24"/>
                <w:lang w:eastAsia="es-DO"/>
              </w:rPr>
              <w:t>100%</w:t>
            </w:r>
          </w:p>
        </w:tc>
      </w:tr>
      <w:tr w:rsidR="00F80D77" w:rsidRPr="00F80D77" w14:paraId="2F7BDB37" w14:textId="77777777" w:rsidTr="00BA6F83">
        <w:trPr>
          <w:trHeight w:val="1103"/>
        </w:trPr>
        <w:tc>
          <w:tcPr>
            <w:tcW w:w="5918" w:type="dxa"/>
            <w:tcBorders>
              <w:top w:val="nil"/>
              <w:left w:val="single" w:sz="8" w:space="0" w:color="auto"/>
              <w:bottom w:val="single" w:sz="8" w:space="0" w:color="auto"/>
              <w:right w:val="single" w:sz="8" w:space="0" w:color="auto"/>
            </w:tcBorders>
            <w:vAlign w:val="center"/>
            <w:hideMark/>
          </w:tcPr>
          <w:p w14:paraId="4F3F2FAE" w14:textId="77777777" w:rsidR="00F80D77" w:rsidRPr="00F80D77" w:rsidRDefault="00F80D77" w:rsidP="00F80D77">
            <w:pPr>
              <w:spacing w:after="0" w:line="240" w:lineRule="auto"/>
              <w:rPr>
                <w:rFonts w:ascii="Times New Roman" w:hAnsi="Times New Roman"/>
                <w:color w:val="000000"/>
                <w:sz w:val="24"/>
                <w:szCs w:val="24"/>
                <w:lang w:eastAsia="es-DO"/>
              </w:rPr>
            </w:pPr>
            <w:r w:rsidRPr="00F80D77">
              <w:rPr>
                <w:rFonts w:ascii="Times New Roman" w:hAnsi="Times New Roman"/>
                <w:color w:val="000000"/>
                <w:sz w:val="24"/>
                <w:szCs w:val="24"/>
                <w:lang w:eastAsia="es-DO"/>
              </w:rPr>
              <w:t>Certificación de calidad de los productos agropecuarios con que opera el INESPRE (MP-1).</w:t>
            </w:r>
          </w:p>
        </w:tc>
        <w:tc>
          <w:tcPr>
            <w:tcW w:w="2602" w:type="dxa"/>
            <w:tcBorders>
              <w:top w:val="nil"/>
              <w:left w:val="nil"/>
              <w:bottom w:val="single" w:sz="8" w:space="0" w:color="auto"/>
              <w:right w:val="single" w:sz="8" w:space="0" w:color="auto"/>
            </w:tcBorders>
            <w:noWrap/>
            <w:vAlign w:val="center"/>
            <w:hideMark/>
          </w:tcPr>
          <w:p w14:paraId="4615055F" w14:textId="77777777" w:rsidR="00F80D77" w:rsidRPr="00F80D77" w:rsidRDefault="00F80D77" w:rsidP="00F80D77">
            <w:pPr>
              <w:spacing w:after="0" w:line="240" w:lineRule="auto"/>
              <w:jc w:val="center"/>
              <w:rPr>
                <w:rFonts w:ascii="Times New Roman" w:hAnsi="Times New Roman"/>
                <w:color w:val="000000"/>
                <w:sz w:val="24"/>
                <w:szCs w:val="24"/>
                <w:lang w:eastAsia="es-DO"/>
              </w:rPr>
            </w:pPr>
            <w:r w:rsidRPr="00F80D77">
              <w:rPr>
                <w:rFonts w:ascii="Times New Roman" w:hAnsi="Times New Roman"/>
                <w:color w:val="000000"/>
                <w:sz w:val="24"/>
                <w:szCs w:val="24"/>
                <w:lang w:eastAsia="es-DO"/>
              </w:rPr>
              <w:t>29%</w:t>
            </w:r>
          </w:p>
        </w:tc>
      </w:tr>
      <w:tr w:rsidR="00F80D77" w:rsidRPr="00F80D77" w14:paraId="613A4F82" w14:textId="77777777" w:rsidTr="00BA6F83">
        <w:trPr>
          <w:trHeight w:val="316"/>
        </w:trPr>
        <w:tc>
          <w:tcPr>
            <w:tcW w:w="5918" w:type="dxa"/>
            <w:tcBorders>
              <w:top w:val="nil"/>
              <w:left w:val="single" w:sz="8" w:space="0" w:color="auto"/>
              <w:bottom w:val="single" w:sz="8" w:space="0" w:color="auto"/>
              <w:right w:val="single" w:sz="8" w:space="0" w:color="auto"/>
            </w:tcBorders>
            <w:shd w:val="clear" w:color="000000" w:fill="002060"/>
            <w:noWrap/>
            <w:vAlign w:val="center"/>
            <w:hideMark/>
          </w:tcPr>
          <w:p w14:paraId="3D958E52" w14:textId="77777777" w:rsidR="00F80D77" w:rsidRPr="00F80D77" w:rsidRDefault="00F80D77" w:rsidP="00F80D77">
            <w:pPr>
              <w:spacing w:after="0" w:line="240" w:lineRule="auto"/>
              <w:rPr>
                <w:rFonts w:ascii="Times New Roman" w:hAnsi="Times New Roman"/>
                <w:b/>
                <w:bCs/>
                <w:color w:val="FFFFFF"/>
                <w:sz w:val="24"/>
                <w:szCs w:val="24"/>
                <w:lang w:eastAsia="es-DO"/>
              </w:rPr>
            </w:pPr>
            <w:r w:rsidRPr="00F80D77">
              <w:rPr>
                <w:rFonts w:ascii="Times New Roman" w:hAnsi="Times New Roman"/>
                <w:b/>
                <w:bCs/>
                <w:color w:val="FFFFFF"/>
                <w:sz w:val="24"/>
                <w:szCs w:val="24"/>
                <w:lang w:eastAsia="es-DO"/>
              </w:rPr>
              <w:t>Porcentaje total de cumplimiento</w:t>
            </w:r>
          </w:p>
        </w:tc>
        <w:tc>
          <w:tcPr>
            <w:tcW w:w="2602" w:type="dxa"/>
            <w:tcBorders>
              <w:top w:val="nil"/>
              <w:left w:val="nil"/>
              <w:bottom w:val="single" w:sz="8" w:space="0" w:color="auto"/>
              <w:right w:val="single" w:sz="8" w:space="0" w:color="auto"/>
            </w:tcBorders>
            <w:shd w:val="clear" w:color="000000" w:fill="002060"/>
            <w:noWrap/>
            <w:vAlign w:val="center"/>
            <w:hideMark/>
          </w:tcPr>
          <w:p w14:paraId="2D81A240" w14:textId="77777777" w:rsidR="00F80D77" w:rsidRPr="00F80D77" w:rsidRDefault="00F80D77" w:rsidP="00F80D77">
            <w:pPr>
              <w:spacing w:after="0" w:line="240" w:lineRule="auto"/>
              <w:jc w:val="center"/>
              <w:rPr>
                <w:rFonts w:ascii="Times New Roman" w:hAnsi="Times New Roman"/>
                <w:b/>
                <w:bCs/>
                <w:color w:val="FFFFFF"/>
                <w:sz w:val="24"/>
                <w:szCs w:val="24"/>
                <w:lang w:eastAsia="es-DO"/>
              </w:rPr>
            </w:pPr>
            <w:r w:rsidRPr="00F80D77">
              <w:rPr>
                <w:rFonts w:ascii="Times New Roman" w:hAnsi="Times New Roman"/>
                <w:b/>
                <w:bCs/>
                <w:color w:val="FFFFFF"/>
                <w:sz w:val="24"/>
                <w:szCs w:val="24"/>
                <w:lang w:eastAsia="es-DO"/>
              </w:rPr>
              <w:t>50%</w:t>
            </w:r>
          </w:p>
        </w:tc>
      </w:tr>
      <w:tr w:rsidR="00F80D77" w:rsidRPr="00F80D77" w14:paraId="196CE47C" w14:textId="77777777" w:rsidTr="00BA6F83">
        <w:trPr>
          <w:trHeight w:val="718"/>
        </w:trPr>
        <w:tc>
          <w:tcPr>
            <w:tcW w:w="8520" w:type="dxa"/>
            <w:gridSpan w:val="2"/>
            <w:tcBorders>
              <w:top w:val="single" w:sz="8" w:space="0" w:color="auto"/>
              <w:left w:val="nil"/>
              <w:bottom w:val="nil"/>
              <w:right w:val="nil"/>
            </w:tcBorders>
            <w:vAlign w:val="center"/>
            <w:hideMark/>
          </w:tcPr>
          <w:p w14:paraId="6AE7139E" w14:textId="77777777" w:rsidR="00F80D77" w:rsidRDefault="00F80D77" w:rsidP="00F80D77">
            <w:pPr>
              <w:spacing w:after="0" w:line="240" w:lineRule="auto"/>
              <w:jc w:val="center"/>
              <w:rPr>
                <w:rFonts w:ascii="Times New Roman" w:hAnsi="Times New Roman"/>
                <w:i/>
                <w:iCs/>
                <w:color w:val="000000"/>
                <w:sz w:val="18"/>
                <w:szCs w:val="18"/>
                <w:lang w:eastAsia="es-DO"/>
              </w:rPr>
            </w:pPr>
            <w:r w:rsidRPr="00F80D77">
              <w:rPr>
                <w:rFonts w:ascii="Times New Roman" w:hAnsi="Times New Roman"/>
                <w:b/>
                <w:bCs/>
                <w:i/>
                <w:iCs/>
                <w:color w:val="000000"/>
                <w:sz w:val="18"/>
                <w:szCs w:val="18"/>
                <w:lang w:eastAsia="es-DO"/>
              </w:rPr>
              <w:t>Fuente</w:t>
            </w:r>
            <w:r w:rsidRPr="00F80D77">
              <w:rPr>
                <w:rFonts w:ascii="Times New Roman" w:hAnsi="Times New Roman"/>
                <w:i/>
                <w:iCs/>
                <w:color w:val="000000"/>
                <w:sz w:val="18"/>
                <w:szCs w:val="18"/>
                <w:lang w:eastAsia="es-DO"/>
              </w:rPr>
              <w:t>: elaboración propia con datos obtenidos de las ejecuciones del POA 2025 de la Dirección Agropecuaria, Normas y Tecnología Alimentaria.</w:t>
            </w:r>
          </w:p>
          <w:p w14:paraId="3B03FC43" w14:textId="77777777" w:rsidR="003944F9" w:rsidRDefault="003944F9" w:rsidP="00BA6F83">
            <w:pPr>
              <w:spacing w:after="0" w:line="240" w:lineRule="auto"/>
              <w:rPr>
                <w:rFonts w:ascii="Times New Roman" w:hAnsi="Times New Roman"/>
                <w:b/>
                <w:bCs/>
                <w:i/>
                <w:iCs/>
                <w:color w:val="000000"/>
                <w:sz w:val="18"/>
                <w:szCs w:val="18"/>
                <w:lang w:eastAsia="es-DO"/>
              </w:rPr>
            </w:pPr>
          </w:p>
          <w:p w14:paraId="23AE6348" w14:textId="77777777" w:rsidR="003944F9" w:rsidRDefault="003944F9" w:rsidP="00F80D77">
            <w:pPr>
              <w:spacing w:after="0" w:line="240" w:lineRule="auto"/>
              <w:jc w:val="center"/>
              <w:rPr>
                <w:rFonts w:ascii="Times New Roman" w:hAnsi="Times New Roman"/>
                <w:b/>
                <w:bCs/>
                <w:i/>
                <w:iCs/>
                <w:color w:val="000000"/>
                <w:sz w:val="18"/>
                <w:szCs w:val="18"/>
                <w:lang w:eastAsia="es-DO"/>
              </w:rPr>
            </w:pPr>
          </w:p>
          <w:p w14:paraId="1199E15E" w14:textId="77777777" w:rsidR="003944F9" w:rsidRDefault="003944F9" w:rsidP="00F80D77">
            <w:pPr>
              <w:spacing w:after="0" w:line="240" w:lineRule="auto"/>
              <w:jc w:val="center"/>
              <w:rPr>
                <w:rFonts w:ascii="Times New Roman" w:hAnsi="Times New Roman"/>
                <w:b/>
                <w:bCs/>
                <w:i/>
                <w:iCs/>
                <w:color w:val="000000"/>
                <w:sz w:val="18"/>
                <w:szCs w:val="18"/>
                <w:lang w:eastAsia="es-DO"/>
              </w:rPr>
            </w:pPr>
          </w:p>
          <w:p w14:paraId="27B2968C" w14:textId="77777777" w:rsidR="003944F9" w:rsidRDefault="003944F9" w:rsidP="003944F9">
            <w:pPr>
              <w:spacing w:after="0" w:line="240" w:lineRule="auto"/>
              <w:rPr>
                <w:rFonts w:ascii="Times New Roman" w:hAnsi="Times New Roman"/>
                <w:b/>
                <w:bCs/>
                <w:i/>
                <w:iCs/>
                <w:color w:val="000000"/>
                <w:sz w:val="18"/>
                <w:szCs w:val="18"/>
                <w:lang w:eastAsia="es-DO"/>
              </w:rPr>
            </w:pPr>
          </w:p>
          <w:p w14:paraId="6977F35A" w14:textId="77777777" w:rsidR="003944F9" w:rsidRDefault="003944F9" w:rsidP="00F80D77">
            <w:pPr>
              <w:spacing w:after="0" w:line="240" w:lineRule="auto"/>
              <w:jc w:val="center"/>
              <w:rPr>
                <w:rFonts w:ascii="Times New Roman" w:hAnsi="Times New Roman"/>
                <w:b/>
                <w:bCs/>
                <w:i/>
                <w:iCs/>
                <w:color w:val="000000"/>
                <w:sz w:val="18"/>
                <w:szCs w:val="18"/>
                <w:lang w:eastAsia="es-DO"/>
              </w:rPr>
            </w:pPr>
          </w:p>
          <w:p w14:paraId="15091B66" w14:textId="77777777" w:rsidR="003944F9" w:rsidRPr="00F80D77" w:rsidRDefault="003944F9" w:rsidP="00F80D77">
            <w:pPr>
              <w:spacing w:after="0" w:line="240" w:lineRule="auto"/>
              <w:jc w:val="center"/>
              <w:rPr>
                <w:rFonts w:ascii="Times New Roman" w:hAnsi="Times New Roman"/>
                <w:color w:val="000000"/>
                <w:sz w:val="18"/>
                <w:szCs w:val="18"/>
                <w:lang w:eastAsia="es-DO"/>
              </w:rPr>
            </w:pPr>
          </w:p>
        </w:tc>
      </w:tr>
    </w:tbl>
    <w:p w14:paraId="1F649A50" w14:textId="592568E8" w:rsidR="003944F9" w:rsidRDefault="003944F9" w:rsidP="003944F9">
      <w:pPr>
        <w:pStyle w:val="Ttulo1"/>
        <w:numPr>
          <w:ilvl w:val="0"/>
          <w:numId w:val="6"/>
        </w:numPr>
        <w:spacing w:line="360" w:lineRule="auto"/>
        <w:jc w:val="both"/>
        <w:rPr>
          <w:rFonts w:ascii="Times New Roman" w:hAnsi="Times New Roman" w:cs="Times New Roman"/>
          <w:b/>
          <w:bCs/>
          <w:sz w:val="28"/>
          <w:szCs w:val="28"/>
        </w:rPr>
      </w:pPr>
      <w:bookmarkStart w:id="40" w:name="_Toc226973092"/>
      <w:r w:rsidRPr="003944F9">
        <w:rPr>
          <w:rFonts w:ascii="Times New Roman" w:hAnsi="Times New Roman" w:cs="Times New Roman"/>
          <w:b/>
          <w:bCs/>
          <w:sz w:val="28"/>
          <w:szCs w:val="28"/>
        </w:rPr>
        <w:t>CONCLUSIÓN</w:t>
      </w:r>
      <w:bookmarkEnd w:id="40"/>
    </w:p>
    <w:p w14:paraId="4C595430" w14:textId="5705D568" w:rsidR="003944F9" w:rsidRDefault="003944F9" w:rsidP="003944F9">
      <w:pPr>
        <w:pStyle w:val="NormalWeb"/>
        <w:spacing w:line="276" w:lineRule="auto"/>
        <w:jc w:val="both"/>
      </w:pPr>
      <w:r>
        <w:t xml:space="preserve">El Instituto de Estabilización de Precios (INESPRE) alcanzó un nivel de </w:t>
      </w:r>
      <w:r w:rsidRPr="005545E1">
        <w:rPr>
          <w:b/>
          <w:bCs/>
        </w:rPr>
        <w:t>ejecución general de 86% durante el primer trimestre del año 2026</w:t>
      </w:r>
      <w:r>
        <w:t xml:space="preserve">, lo que refleja un desempeño </w:t>
      </w:r>
      <w:r>
        <w:lastRenderedPageBreak/>
        <w:t>razonable en el cumplimiento de las metas programadas y una adecuada capacidad institucional para sostener la operatividad de sus programas. Este resultado evidencia fortalezas en la ejecución de las acciones sustantivas, particularmente aquellas vinculadas a los canales de comercialización, así como en los procesos de apoyo que garantizan la continuidad de los servicios institucionales y el acceso de la población a alimentos a precios asequibles.</w:t>
      </w:r>
    </w:p>
    <w:p w14:paraId="19FFA1DD" w14:textId="77777777" w:rsidR="003944F9" w:rsidRDefault="003944F9" w:rsidP="003944F9">
      <w:pPr>
        <w:pStyle w:val="NormalWeb"/>
        <w:spacing w:line="276" w:lineRule="auto"/>
        <w:jc w:val="both"/>
      </w:pPr>
      <w:r>
        <w:t>No obstante, el análisis del desempeño permite identificar oportunidades de mejora en algunos procesos de carácter administrativo y operativo, donde se presentaron niveles de ejecución parcial o nula en determinados productos, asociados principalmente a factores como procesos en curso, disponibilidad de recursos y dependencias interinstitucionales. Estas situaciones incidieron en el desarrollo oportuno de ciertas actividades, sin comprometer el seguimiento técnico realizado de manera continua por las instancias responsables de planificación.</w:t>
      </w:r>
    </w:p>
    <w:p w14:paraId="7EF14863" w14:textId="77777777" w:rsidR="003944F9" w:rsidRDefault="003944F9" w:rsidP="003944F9">
      <w:pPr>
        <w:pStyle w:val="NormalWeb"/>
        <w:spacing w:line="276" w:lineRule="auto"/>
        <w:jc w:val="both"/>
      </w:pPr>
      <w:r>
        <w:t>En este sentido, la institución ha mantenido un monitoreo oportuno de la ejecución, permitiendo la identificación temprana de desviaciones y la implementación de medidas correctivas orientadas a fortalecer el cumplimiento de las metas. En consecuencia, se prevé que, mediante el fortalecimiento de la articulación interinstitucional y la optimización de los procesos administrativos, se continúe mejorando el nivel de ejecución en los períodos subsiguientes, consolidando así el desempeño institucional.</w:t>
      </w:r>
    </w:p>
    <w:p w14:paraId="7ADB6141" w14:textId="77777777" w:rsidR="00777BF9" w:rsidRDefault="00777BF9" w:rsidP="003944F9">
      <w:pPr>
        <w:pStyle w:val="NormalWeb"/>
        <w:spacing w:line="276" w:lineRule="auto"/>
        <w:jc w:val="both"/>
      </w:pPr>
    </w:p>
    <w:p w14:paraId="065714F3" w14:textId="77777777" w:rsidR="00777BF9" w:rsidRDefault="00777BF9" w:rsidP="003944F9">
      <w:pPr>
        <w:pStyle w:val="NormalWeb"/>
        <w:spacing w:line="276" w:lineRule="auto"/>
        <w:jc w:val="both"/>
      </w:pPr>
    </w:p>
    <w:p w14:paraId="7C5B6101" w14:textId="77777777" w:rsidR="00777BF9" w:rsidRDefault="00777BF9" w:rsidP="003944F9">
      <w:pPr>
        <w:pStyle w:val="NormalWeb"/>
        <w:spacing w:line="276" w:lineRule="auto"/>
        <w:jc w:val="both"/>
      </w:pPr>
    </w:p>
    <w:p w14:paraId="1EE4883A" w14:textId="77777777" w:rsidR="00777BF9" w:rsidRDefault="00777BF9" w:rsidP="003944F9">
      <w:pPr>
        <w:pStyle w:val="NormalWeb"/>
        <w:spacing w:line="276" w:lineRule="auto"/>
        <w:jc w:val="both"/>
      </w:pPr>
    </w:p>
    <w:p w14:paraId="7D989B70" w14:textId="77777777" w:rsidR="00777BF9" w:rsidRDefault="00777BF9" w:rsidP="003944F9">
      <w:pPr>
        <w:pStyle w:val="NormalWeb"/>
        <w:spacing w:line="276" w:lineRule="auto"/>
        <w:jc w:val="both"/>
      </w:pPr>
    </w:p>
    <w:p w14:paraId="30EE94B6" w14:textId="77777777" w:rsidR="00777BF9" w:rsidRDefault="00777BF9" w:rsidP="003944F9">
      <w:pPr>
        <w:pStyle w:val="NormalWeb"/>
        <w:spacing w:line="276" w:lineRule="auto"/>
        <w:jc w:val="both"/>
      </w:pPr>
    </w:p>
    <w:p w14:paraId="6B72B640" w14:textId="77777777" w:rsidR="00777BF9" w:rsidRDefault="00777BF9" w:rsidP="003944F9">
      <w:pPr>
        <w:pStyle w:val="NormalWeb"/>
        <w:spacing w:line="276" w:lineRule="auto"/>
        <w:jc w:val="both"/>
      </w:pPr>
    </w:p>
    <w:p w14:paraId="621B22D5" w14:textId="77777777" w:rsidR="00777BF9" w:rsidRDefault="00777BF9" w:rsidP="003944F9">
      <w:pPr>
        <w:pStyle w:val="NormalWeb"/>
        <w:spacing w:line="276" w:lineRule="auto"/>
        <w:jc w:val="both"/>
      </w:pPr>
    </w:p>
    <w:p w14:paraId="543163D8" w14:textId="77777777" w:rsidR="00777BF9" w:rsidRDefault="00777BF9" w:rsidP="003944F9">
      <w:pPr>
        <w:pStyle w:val="NormalWeb"/>
        <w:spacing w:line="276" w:lineRule="auto"/>
        <w:jc w:val="both"/>
      </w:pPr>
    </w:p>
    <w:p w14:paraId="56D425F6" w14:textId="77777777" w:rsidR="00777BF9" w:rsidRDefault="00777BF9" w:rsidP="003944F9">
      <w:pPr>
        <w:pStyle w:val="NormalWeb"/>
        <w:spacing w:line="276" w:lineRule="auto"/>
        <w:jc w:val="both"/>
      </w:pPr>
    </w:p>
    <w:p w14:paraId="5817D851" w14:textId="77777777" w:rsidR="00777BF9" w:rsidRDefault="00777BF9" w:rsidP="003944F9">
      <w:pPr>
        <w:pStyle w:val="NormalWeb"/>
        <w:spacing w:line="276" w:lineRule="auto"/>
        <w:jc w:val="both"/>
      </w:pPr>
    </w:p>
    <w:p w14:paraId="16183FF5" w14:textId="698FAF0D" w:rsidR="00777BF9" w:rsidRDefault="00777BF9" w:rsidP="003944F9">
      <w:pPr>
        <w:pStyle w:val="NormalWeb"/>
        <w:spacing w:line="276" w:lineRule="auto"/>
        <w:jc w:val="both"/>
        <w:rPr>
          <w:rFonts w:eastAsiaTheme="majorEastAsia"/>
          <w:b/>
          <w:bCs/>
          <w:color w:val="2F5496" w:themeColor="accent1" w:themeShade="BF"/>
          <w:sz w:val="28"/>
          <w:szCs w:val="28"/>
          <w:lang w:val="es-DO" w:eastAsia="en-US"/>
        </w:rPr>
      </w:pPr>
      <w:r w:rsidRPr="00BA6F83">
        <w:rPr>
          <w:rFonts w:eastAsiaTheme="majorEastAsia"/>
          <w:b/>
          <w:bCs/>
          <w:color w:val="2F5496" w:themeColor="accent1" w:themeShade="BF"/>
          <w:sz w:val="28"/>
          <w:szCs w:val="28"/>
          <w:lang w:val="es-DO" w:eastAsia="en-US"/>
        </w:rPr>
        <w:lastRenderedPageBreak/>
        <w:t>Anexos</w:t>
      </w:r>
    </w:p>
    <w:p w14:paraId="3EE5A7A8" w14:textId="77777777" w:rsidR="00777BF9" w:rsidRPr="00BA6F83" w:rsidRDefault="00777BF9" w:rsidP="003944F9">
      <w:pPr>
        <w:pStyle w:val="NormalWeb"/>
        <w:spacing w:line="276" w:lineRule="auto"/>
        <w:jc w:val="both"/>
        <w:rPr>
          <w:rFonts w:eastAsiaTheme="majorEastAsia"/>
          <w:b/>
          <w:bCs/>
          <w:color w:val="2F5496" w:themeColor="accent1" w:themeShade="BF"/>
          <w:sz w:val="28"/>
          <w:szCs w:val="28"/>
          <w:lang w:val="es-DO" w:eastAsia="en-US"/>
        </w:rPr>
      </w:pPr>
    </w:p>
    <w:p w14:paraId="5335E6EC" w14:textId="77777777" w:rsidR="005545E1" w:rsidRDefault="005545E1" w:rsidP="003944F9">
      <w:pPr>
        <w:pStyle w:val="NormalWeb"/>
        <w:spacing w:line="276" w:lineRule="auto"/>
        <w:jc w:val="both"/>
      </w:pPr>
    </w:p>
    <w:p w14:paraId="61FB3B84" w14:textId="77777777" w:rsidR="005545E1" w:rsidRDefault="005545E1" w:rsidP="003944F9">
      <w:pPr>
        <w:pStyle w:val="NormalWeb"/>
        <w:spacing w:line="276" w:lineRule="auto"/>
        <w:jc w:val="both"/>
      </w:pPr>
    </w:p>
    <w:p w14:paraId="3D8DB878" w14:textId="77777777" w:rsidR="005545E1" w:rsidRDefault="005545E1" w:rsidP="003944F9">
      <w:pPr>
        <w:pStyle w:val="NormalWeb"/>
        <w:spacing w:line="276" w:lineRule="auto"/>
        <w:jc w:val="both"/>
      </w:pPr>
    </w:p>
    <w:p w14:paraId="43AAE86A" w14:textId="77777777" w:rsidR="005545E1" w:rsidRDefault="005545E1" w:rsidP="003944F9">
      <w:pPr>
        <w:pStyle w:val="NormalWeb"/>
        <w:spacing w:line="276" w:lineRule="auto"/>
        <w:jc w:val="both"/>
      </w:pPr>
    </w:p>
    <w:p w14:paraId="1D8BF740" w14:textId="77777777" w:rsidR="005545E1" w:rsidRDefault="005545E1" w:rsidP="003944F9">
      <w:pPr>
        <w:pStyle w:val="NormalWeb"/>
        <w:spacing w:line="276" w:lineRule="auto"/>
        <w:jc w:val="both"/>
      </w:pPr>
    </w:p>
    <w:p w14:paraId="11D3E9E0" w14:textId="77777777" w:rsidR="005545E1" w:rsidRDefault="005545E1" w:rsidP="003944F9">
      <w:pPr>
        <w:pStyle w:val="NormalWeb"/>
        <w:spacing w:line="276" w:lineRule="auto"/>
        <w:jc w:val="both"/>
      </w:pPr>
    </w:p>
    <w:p w14:paraId="245B2C46" w14:textId="77777777" w:rsidR="005545E1" w:rsidRDefault="005545E1" w:rsidP="003944F9">
      <w:pPr>
        <w:pStyle w:val="NormalWeb"/>
        <w:spacing w:line="276" w:lineRule="auto"/>
        <w:jc w:val="both"/>
      </w:pPr>
    </w:p>
    <w:p w14:paraId="13156EB9" w14:textId="77777777" w:rsidR="005545E1" w:rsidRDefault="005545E1" w:rsidP="003944F9">
      <w:pPr>
        <w:pStyle w:val="NormalWeb"/>
        <w:spacing w:line="276" w:lineRule="auto"/>
        <w:jc w:val="both"/>
      </w:pPr>
    </w:p>
    <w:p w14:paraId="5AA53133" w14:textId="77777777" w:rsidR="005545E1" w:rsidRDefault="005545E1" w:rsidP="003944F9">
      <w:pPr>
        <w:pStyle w:val="NormalWeb"/>
        <w:spacing w:line="276" w:lineRule="auto"/>
        <w:jc w:val="both"/>
      </w:pPr>
    </w:p>
    <w:p w14:paraId="01519BE4" w14:textId="73F3A7F6" w:rsidR="00AB2F5C" w:rsidRPr="00B46391" w:rsidRDefault="005545E1" w:rsidP="00BA6F83">
      <w:pPr>
        <w:pStyle w:val="NormalWeb"/>
        <w:spacing w:line="276" w:lineRule="auto"/>
        <w:jc w:val="both"/>
      </w:pPr>
      <w:r>
        <w:rPr>
          <w:noProof/>
        </w:rPr>
        <w:lastRenderedPageBreak/>
        <w:drawing>
          <wp:anchor distT="0" distB="0" distL="114300" distR="114300" simplePos="0" relativeHeight="251662336" behindDoc="0" locked="0" layoutInCell="1" allowOverlap="1" wp14:anchorId="487139D0" wp14:editId="19C5DEEC">
            <wp:simplePos x="0" y="0"/>
            <wp:positionH relativeFrom="page">
              <wp:align>right</wp:align>
            </wp:positionH>
            <wp:positionV relativeFrom="page">
              <wp:align>bottom</wp:align>
            </wp:positionV>
            <wp:extent cx="7779385" cy="11717020"/>
            <wp:effectExtent l="0" t="0" r="0" b="0"/>
            <wp:wrapTopAndBottom/>
            <wp:docPr id="18695089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9385" cy="117170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AB2F5C" w:rsidRPr="00B46391">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2410" w14:textId="77777777" w:rsidR="008A5789" w:rsidRDefault="008A5789" w:rsidP="00BB02BC">
      <w:pPr>
        <w:spacing w:after="0" w:line="240" w:lineRule="auto"/>
      </w:pPr>
      <w:r>
        <w:separator/>
      </w:r>
    </w:p>
  </w:endnote>
  <w:endnote w:type="continuationSeparator" w:id="0">
    <w:p w14:paraId="23420DE2" w14:textId="77777777" w:rsidR="008A5789" w:rsidRDefault="008A5789" w:rsidP="00BB0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9397"/>
      <w:docPartObj>
        <w:docPartGallery w:val="Page Numbers (Bottom of Page)"/>
        <w:docPartUnique/>
      </w:docPartObj>
    </w:sdtPr>
    <w:sdtEndPr/>
    <w:sdtContent>
      <w:p w14:paraId="118B68E8" w14:textId="49AC8214" w:rsidR="003161FE" w:rsidRDefault="003161FE">
        <w:pPr>
          <w:pStyle w:val="Piedepgina"/>
          <w:jc w:val="right"/>
        </w:pPr>
        <w:r>
          <w:fldChar w:fldCharType="begin"/>
        </w:r>
        <w:r>
          <w:instrText>PAGE   \* MERGEFORMAT</w:instrText>
        </w:r>
        <w:r>
          <w:fldChar w:fldCharType="separate"/>
        </w:r>
        <w:r>
          <w:rPr>
            <w:lang w:val="es-ES"/>
          </w:rPr>
          <w:t>2</w:t>
        </w:r>
        <w:r>
          <w:fldChar w:fldCharType="end"/>
        </w:r>
      </w:p>
    </w:sdtContent>
  </w:sdt>
  <w:p w14:paraId="68E0CC98" w14:textId="77777777" w:rsidR="00BB02BC" w:rsidRDefault="00BB02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659C" w14:textId="77777777" w:rsidR="008A5789" w:rsidRDefault="008A5789" w:rsidP="00BB02BC">
      <w:pPr>
        <w:spacing w:after="0" w:line="240" w:lineRule="auto"/>
      </w:pPr>
      <w:r>
        <w:separator/>
      </w:r>
    </w:p>
  </w:footnote>
  <w:footnote w:type="continuationSeparator" w:id="0">
    <w:p w14:paraId="2664F5A1" w14:textId="77777777" w:rsidR="008A5789" w:rsidRDefault="008A5789" w:rsidP="00BB0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F8E7" w14:textId="77777777" w:rsidR="00BB02BC" w:rsidRPr="00C05B7D" w:rsidRDefault="00BB02BC" w:rsidP="00BB02BC">
    <w:pPr>
      <w:spacing w:after="0" w:line="240" w:lineRule="auto"/>
      <w:ind w:left="1416" w:right="-852" w:firstLine="2"/>
      <w:jc w:val="center"/>
    </w:pPr>
    <w:r>
      <w:rPr>
        <w:noProof/>
      </w:rPr>
      <w:drawing>
        <wp:anchor distT="0" distB="0" distL="114300" distR="114300" simplePos="0" relativeHeight="251659264" behindDoc="0" locked="0" layoutInCell="1" allowOverlap="1" wp14:anchorId="4CCFA4BD" wp14:editId="54EFB2F0">
          <wp:simplePos x="0" y="0"/>
          <wp:positionH relativeFrom="column">
            <wp:posOffset>-806450</wp:posOffset>
          </wp:positionH>
          <wp:positionV relativeFrom="page">
            <wp:posOffset>252095</wp:posOffset>
          </wp:positionV>
          <wp:extent cx="1079500" cy="520700"/>
          <wp:effectExtent l="0" t="0" r="6350" b="0"/>
          <wp:wrapTopAndBottom/>
          <wp:docPr id="44329932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520700"/>
                  </a:xfrm>
                  <a:prstGeom prst="rect">
                    <a:avLst/>
                  </a:prstGeom>
                  <a:noFill/>
                  <a:ln>
                    <a:noFill/>
                  </a:ln>
                </pic:spPr>
              </pic:pic>
            </a:graphicData>
          </a:graphic>
        </wp:anchor>
      </w:drawing>
    </w:r>
    <w:r w:rsidRPr="00C05B7D">
      <w:rPr>
        <w:rFonts w:ascii="Arial" w:hAnsi="Arial" w:cs="Arial"/>
        <w:i/>
        <w:color w:val="A6A6A6"/>
        <w:lang w:val="es-ES"/>
      </w:rPr>
      <w:t>Informe de Monitoreo y Evaluación del POA (</w:t>
    </w:r>
    <w:r>
      <w:rPr>
        <w:rFonts w:ascii="Arial" w:hAnsi="Arial" w:cs="Arial"/>
        <w:i/>
        <w:color w:val="A6A6A6"/>
        <w:lang w:val="es-ES"/>
      </w:rPr>
      <w:t xml:space="preserve">Enero – </w:t>
    </w:r>
    <w:proofErr w:type="gramStart"/>
    <w:r>
      <w:rPr>
        <w:rFonts w:ascii="Arial" w:hAnsi="Arial" w:cs="Arial"/>
        <w:i/>
        <w:color w:val="A6A6A6"/>
        <w:lang w:val="es-ES"/>
      </w:rPr>
      <w:t>Marzo</w:t>
    </w:r>
    <w:proofErr w:type="gramEnd"/>
    <w:r>
      <w:rPr>
        <w:rFonts w:ascii="Arial" w:hAnsi="Arial" w:cs="Arial"/>
        <w:i/>
        <w:color w:val="A6A6A6"/>
        <w:lang w:val="es-ES"/>
      </w:rPr>
      <w:t xml:space="preserve"> 2026</w:t>
    </w:r>
    <w:r w:rsidRPr="00C05B7D">
      <w:rPr>
        <w:rFonts w:ascii="Arial" w:hAnsi="Arial" w:cs="Arial"/>
        <w:i/>
        <w:color w:val="A6A6A6"/>
        <w:lang w:val="es-ES"/>
      </w:rPr>
      <w:t>)</w:t>
    </w:r>
  </w:p>
  <w:p w14:paraId="68734BCE" w14:textId="2C361459" w:rsidR="00BB02BC" w:rsidRDefault="00BB02BC" w:rsidP="00BB02BC">
    <w:pPr>
      <w:spacing w:after="0" w:line="240" w:lineRule="auto"/>
      <w:ind w:left="1416" w:right="-852" w:firstLin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53194"/>
    <w:multiLevelType w:val="multilevel"/>
    <w:tmpl w:val="A296CF3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3DFD46E9"/>
    <w:multiLevelType w:val="hybridMultilevel"/>
    <w:tmpl w:val="416C2E18"/>
    <w:lvl w:ilvl="0" w:tplc="1C0A000F">
      <w:start w:val="3"/>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4B8F6564"/>
    <w:multiLevelType w:val="multilevel"/>
    <w:tmpl w:val="37285E78"/>
    <w:lvl w:ilvl="0">
      <w:start w:val="1"/>
      <w:numFmt w:val="decimal"/>
      <w:lvlText w:val="%1."/>
      <w:lvlJc w:val="left"/>
      <w:pPr>
        <w:tabs>
          <w:tab w:val="num" w:pos="-360"/>
        </w:tabs>
        <w:ind w:left="360" w:hanging="360"/>
      </w:pPr>
    </w:lvl>
    <w:lvl w:ilvl="1">
      <w:start w:val="1"/>
      <w:numFmt w:val="decimal"/>
      <w:lvlText w:val="%1.%2"/>
      <w:lvlJc w:val="left"/>
      <w:pPr>
        <w:tabs>
          <w:tab w:val="num" w:pos="-90"/>
        </w:tabs>
        <w:ind w:left="825" w:hanging="375"/>
      </w:pPr>
      <w:rPr>
        <w:b/>
        <w:bCs/>
        <w:sz w:val="28"/>
      </w:rPr>
    </w:lvl>
    <w:lvl w:ilvl="2">
      <w:start w:val="1"/>
      <w:numFmt w:val="decimal"/>
      <w:lvlText w:val="%1.%2.%3"/>
      <w:lvlJc w:val="left"/>
      <w:pPr>
        <w:tabs>
          <w:tab w:val="num" w:pos="-90"/>
        </w:tabs>
        <w:ind w:left="990" w:hanging="720"/>
      </w:pPr>
    </w:lvl>
    <w:lvl w:ilvl="3">
      <w:start w:val="1"/>
      <w:numFmt w:val="decimal"/>
      <w:lvlText w:val="%1.%2.%3.%4"/>
      <w:lvlJc w:val="left"/>
      <w:pPr>
        <w:tabs>
          <w:tab w:val="num" w:pos="-90"/>
        </w:tabs>
        <w:ind w:left="1350" w:hanging="1080"/>
      </w:pPr>
    </w:lvl>
    <w:lvl w:ilvl="4">
      <w:start w:val="1"/>
      <w:numFmt w:val="decimal"/>
      <w:lvlText w:val="%1.%2.%3.%4.%5"/>
      <w:lvlJc w:val="left"/>
      <w:pPr>
        <w:tabs>
          <w:tab w:val="num" w:pos="-90"/>
        </w:tabs>
        <w:ind w:left="1350" w:hanging="1080"/>
      </w:pPr>
    </w:lvl>
    <w:lvl w:ilvl="5">
      <w:start w:val="1"/>
      <w:numFmt w:val="decimal"/>
      <w:lvlText w:val="%1.%2.%3.%4.%5.%6"/>
      <w:lvlJc w:val="left"/>
      <w:pPr>
        <w:tabs>
          <w:tab w:val="num" w:pos="-90"/>
        </w:tabs>
        <w:ind w:left="1710" w:hanging="1440"/>
      </w:pPr>
    </w:lvl>
    <w:lvl w:ilvl="6">
      <w:start w:val="1"/>
      <w:numFmt w:val="decimal"/>
      <w:lvlText w:val="%1.%2.%3.%4.%5.%6.%7"/>
      <w:lvlJc w:val="left"/>
      <w:pPr>
        <w:tabs>
          <w:tab w:val="num" w:pos="-90"/>
        </w:tabs>
        <w:ind w:left="1710" w:hanging="1440"/>
      </w:pPr>
    </w:lvl>
    <w:lvl w:ilvl="7">
      <w:start w:val="1"/>
      <w:numFmt w:val="decimal"/>
      <w:lvlText w:val="%1.%2.%3.%4.%5.%6.%7.%8"/>
      <w:lvlJc w:val="left"/>
      <w:pPr>
        <w:tabs>
          <w:tab w:val="num" w:pos="-90"/>
        </w:tabs>
        <w:ind w:left="2070" w:hanging="1800"/>
      </w:pPr>
    </w:lvl>
    <w:lvl w:ilvl="8">
      <w:start w:val="1"/>
      <w:numFmt w:val="decimal"/>
      <w:lvlText w:val="%1.%2.%3.%4.%5.%6.%7.%8.%9"/>
      <w:lvlJc w:val="left"/>
      <w:pPr>
        <w:tabs>
          <w:tab w:val="num" w:pos="-90"/>
        </w:tabs>
        <w:ind w:left="2430" w:hanging="2160"/>
      </w:pPr>
    </w:lvl>
  </w:abstractNum>
  <w:abstractNum w:abstractNumId="3" w15:restartNumberingAfterBreak="0">
    <w:nsid w:val="597C41DC"/>
    <w:multiLevelType w:val="hybridMultilevel"/>
    <w:tmpl w:val="369671C2"/>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64653C70"/>
    <w:multiLevelType w:val="hybridMultilevel"/>
    <w:tmpl w:val="D9AE9568"/>
    <w:lvl w:ilvl="0" w:tplc="1C0A000F">
      <w:start w:val="3"/>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79B307BE"/>
    <w:multiLevelType w:val="hybridMultilevel"/>
    <w:tmpl w:val="6FF8E288"/>
    <w:lvl w:ilvl="0" w:tplc="1C0A000F">
      <w:start w:val="3"/>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629776382">
    <w:abstractNumId w:val="0"/>
  </w:num>
  <w:num w:numId="2" w16cid:durableId="1042555329">
    <w:abstractNumId w:val="3"/>
  </w:num>
  <w:num w:numId="3" w16cid:durableId="1967813336">
    <w:abstractNumId w:val="2"/>
  </w:num>
  <w:num w:numId="4" w16cid:durableId="306713135">
    <w:abstractNumId w:val="5"/>
  </w:num>
  <w:num w:numId="5" w16cid:durableId="278757333">
    <w:abstractNumId w:val="4"/>
  </w:num>
  <w:num w:numId="6" w16cid:durableId="180893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BC"/>
    <w:rsid w:val="000348A8"/>
    <w:rsid w:val="001073B6"/>
    <w:rsid w:val="00191B3D"/>
    <w:rsid w:val="00217940"/>
    <w:rsid w:val="003161FE"/>
    <w:rsid w:val="003742DA"/>
    <w:rsid w:val="003944F9"/>
    <w:rsid w:val="003D6A82"/>
    <w:rsid w:val="004C0DD3"/>
    <w:rsid w:val="004C4019"/>
    <w:rsid w:val="005516B3"/>
    <w:rsid w:val="005545E1"/>
    <w:rsid w:val="005D3073"/>
    <w:rsid w:val="006535A8"/>
    <w:rsid w:val="00664BEC"/>
    <w:rsid w:val="006729A0"/>
    <w:rsid w:val="006A06C9"/>
    <w:rsid w:val="006A6941"/>
    <w:rsid w:val="006D77D2"/>
    <w:rsid w:val="007109E5"/>
    <w:rsid w:val="00777BF9"/>
    <w:rsid w:val="0078084D"/>
    <w:rsid w:val="0079451F"/>
    <w:rsid w:val="007B6091"/>
    <w:rsid w:val="007E3CB5"/>
    <w:rsid w:val="007F506D"/>
    <w:rsid w:val="00825FBF"/>
    <w:rsid w:val="008A5789"/>
    <w:rsid w:val="00A51F9C"/>
    <w:rsid w:val="00AB2F5C"/>
    <w:rsid w:val="00B46391"/>
    <w:rsid w:val="00B764E4"/>
    <w:rsid w:val="00B826A9"/>
    <w:rsid w:val="00BA6F83"/>
    <w:rsid w:val="00BB02BC"/>
    <w:rsid w:val="00BC6F6D"/>
    <w:rsid w:val="00C30C48"/>
    <w:rsid w:val="00C74658"/>
    <w:rsid w:val="00C946C6"/>
    <w:rsid w:val="00D37788"/>
    <w:rsid w:val="00D555B3"/>
    <w:rsid w:val="00D65BBE"/>
    <w:rsid w:val="00E40C0B"/>
    <w:rsid w:val="00E66CAE"/>
    <w:rsid w:val="00E87ED5"/>
    <w:rsid w:val="00ED72B2"/>
    <w:rsid w:val="00F018AB"/>
    <w:rsid w:val="00F80D7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A861"/>
  <w15:chartTrackingRefBased/>
  <w15:docId w15:val="{BE881F01-C48E-45C3-BC36-DC655B7D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2BC"/>
    <w:pPr>
      <w:spacing w:after="200" w:line="276" w:lineRule="auto"/>
    </w:pPr>
    <w:rPr>
      <w:rFonts w:ascii="Calibri" w:eastAsia="Times New Roman" w:hAnsi="Calibri" w:cs="Times New Roman"/>
      <w:kern w:val="0"/>
      <w:sz w:val="22"/>
      <w:szCs w:val="22"/>
      <w14:ligatures w14:val="none"/>
    </w:rPr>
  </w:style>
  <w:style w:type="paragraph" w:styleId="Ttulo1">
    <w:name w:val="heading 1"/>
    <w:basedOn w:val="Normal"/>
    <w:next w:val="Normal"/>
    <w:link w:val="Ttulo1Car"/>
    <w:uiPriority w:val="9"/>
    <w:qFormat/>
    <w:rsid w:val="00BB0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BB0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B02B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B02B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B02B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B02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02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02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02B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02B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BB02B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B02B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B02B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B02B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B02B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02B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02B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02BC"/>
    <w:rPr>
      <w:rFonts w:eastAsiaTheme="majorEastAsia" w:cstheme="majorBidi"/>
      <w:color w:val="272727" w:themeColor="text1" w:themeTint="D8"/>
    </w:rPr>
  </w:style>
  <w:style w:type="paragraph" w:styleId="Ttulo">
    <w:name w:val="Title"/>
    <w:basedOn w:val="Normal"/>
    <w:next w:val="Normal"/>
    <w:link w:val="TtuloCar"/>
    <w:uiPriority w:val="10"/>
    <w:qFormat/>
    <w:rsid w:val="00BB0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02B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02B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02B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02BC"/>
    <w:pPr>
      <w:spacing w:before="160"/>
      <w:jc w:val="center"/>
    </w:pPr>
    <w:rPr>
      <w:i/>
      <w:iCs/>
      <w:color w:val="404040" w:themeColor="text1" w:themeTint="BF"/>
    </w:rPr>
  </w:style>
  <w:style w:type="character" w:customStyle="1" w:styleId="CitaCar">
    <w:name w:val="Cita Car"/>
    <w:basedOn w:val="Fuentedeprrafopredeter"/>
    <w:link w:val="Cita"/>
    <w:uiPriority w:val="29"/>
    <w:rsid w:val="00BB02BC"/>
    <w:rPr>
      <w:i/>
      <w:iCs/>
      <w:color w:val="404040" w:themeColor="text1" w:themeTint="BF"/>
    </w:rPr>
  </w:style>
  <w:style w:type="paragraph" w:styleId="Prrafodelista">
    <w:name w:val="List Paragraph"/>
    <w:aliases w:val="List Paragraph (numbered (a)),PDP DOCUMENT SUBTITLE,Paragraphe de liste PBLH,Table of contents numbered,Lapis Bulleted List,Bullet Points,Liste Paragraf,Liststycke SKL,Normal bullet 2,Bullet list,En tête 1,Paragraphe de liste,Ha,WB Para"/>
    <w:basedOn w:val="Normal"/>
    <w:link w:val="PrrafodelistaCar"/>
    <w:uiPriority w:val="34"/>
    <w:qFormat/>
    <w:rsid w:val="00BB02BC"/>
    <w:pPr>
      <w:ind w:left="720"/>
      <w:contextualSpacing/>
    </w:pPr>
  </w:style>
  <w:style w:type="character" w:styleId="nfasisintenso">
    <w:name w:val="Intense Emphasis"/>
    <w:basedOn w:val="Fuentedeprrafopredeter"/>
    <w:uiPriority w:val="21"/>
    <w:qFormat/>
    <w:rsid w:val="00BB02BC"/>
    <w:rPr>
      <w:i/>
      <w:iCs/>
      <w:color w:val="2F5496" w:themeColor="accent1" w:themeShade="BF"/>
    </w:rPr>
  </w:style>
  <w:style w:type="paragraph" w:styleId="Citadestacada">
    <w:name w:val="Intense Quote"/>
    <w:basedOn w:val="Normal"/>
    <w:next w:val="Normal"/>
    <w:link w:val="CitadestacadaCar"/>
    <w:uiPriority w:val="30"/>
    <w:qFormat/>
    <w:rsid w:val="00BB0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B02BC"/>
    <w:rPr>
      <w:i/>
      <w:iCs/>
      <w:color w:val="2F5496" w:themeColor="accent1" w:themeShade="BF"/>
    </w:rPr>
  </w:style>
  <w:style w:type="character" w:styleId="Referenciaintensa">
    <w:name w:val="Intense Reference"/>
    <w:basedOn w:val="Fuentedeprrafopredeter"/>
    <w:uiPriority w:val="32"/>
    <w:qFormat/>
    <w:rsid w:val="00BB02BC"/>
    <w:rPr>
      <w:b/>
      <w:bCs/>
      <w:smallCaps/>
      <w:color w:val="2F5496" w:themeColor="accent1" w:themeShade="BF"/>
      <w:spacing w:val="5"/>
    </w:rPr>
  </w:style>
  <w:style w:type="paragraph" w:styleId="Encabezado">
    <w:name w:val="header"/>
    <w:basedOn w:val="Normal"/>
    <w:link w:val="EncabezadoCar"/>
    <w:uiPriority w:val="99"/>
    <w:unhideWhenUsed/>
    <w:rsid w:val="00BB02B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02BC"/>
  </w:style>
  <w:style w:type="paragraph" w:styleId="Piedepgina">
    <w:name w:val="footer"/>
    <w:basedOn w:val="Normal"/>
    <w:link w:val="PiedepginaCar"/>
    <w:uiPriority w:val="99"/>
    <w:unhideWhenUsed/>
    <w:rsid w:val="00BB02B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2BC"/>
  </w:style>
  <w:style w:type="paragraph" w:customStyle="1" w:styleId="InformePOA">
    <w:name w:val="Informe POA"/>
    <w:basedOn w:val="Normal"/>
    <w:qFormat/>
    <w:rsid w:val="00BB02BC"/>
    <w:pPr>
      <w:widowControl w:val="0"/>
      <w:overflowPunct w:val="0"/>
      <w:autoSpaceDE w:val="0"/>
      <w:autoSpaceDN w:val="0"/>
      <w:adjustRightInd w:val="0"/>
      <w:spacing w:before="360" w:after="360" w:line="240" w:lineRule="auto"/>
      <w:jc w:val="both"/>
    </w:pPr>
    <w:rPr>
      <w:rFonts w:ascii="Arial" w:hAnsi="Arial" w:cs="Arial"/>
      <w:color w:val="000000"/>
    </w:rPr>
  </w:style>
  <w:style w:type="character" w:customStyle="1" w:styleId="PrrafodelistaCar">
    <w:name w:val="Párrafo de lista Car"/>
    <w:aliases w:val="List Paragraph (numbered (a)) Car,PDP DOCUMENT SUBTITLE Car,Paragraphe de liste PBLH Car,Table of contents numbered Car,Lapis Bulleted List Car,Bullet Points Car,Liste Paragraf Car,Liststycke SKL Car,Normal bullet 2 Car,Ha Car"/>
    <w:link w:val="Prrafodelista"/>
    <w:uiPriority w:val="34"/>
    <w:qFormat/>
    <w:rsid w:val="00BB02BC"/>
  </w:style>
  <w:style w:type="paragraph" w:styleId="NormalWeb">
    <w:name w:val="Normal (Web)"/>
    <w:basedOn w:val="Normal"/>
    <w:uiPriority w:val="99"/>
    <w:unhideWhenUsed/>
    <w:rsid w:val="00BB02BC"/>
    <w:pPr>
      <w:spacing w:before="100" w:beforeAutospacing="1" w:after="100" w:afterAutospacing="1" w:line="240" w:lineRule="auto"/>
    </w:pPr>
    <w:rPr>
      <w:rFonts w:ascii="Times New Roman" w:hAnsi="Times New Roman"/>
      <w:sz w:val="24"/>
      <w:szCs w:val="24"/>
      <w:lang w:val="es-ES" w:eastAsia="es-ES"/>
    </w:rPr>
  </w:style>
  <w:style w:type="character" w:styleId="Fuerte">
    <w:name w:val="Strong"/>
    <w:basedOn w:val="Fuentedeprrafopredeter"/>
    <w:uiPriority w:val="22"/>
    <w:qFormat/>
    <w:rsid w:val="00B764E4"/>
    <w:rPr>
      <w:b/>
      <w:bCs/>
    </w:rPr>
  </w:style>
  <w:style w:type="paragraph" w:styleId="TtuloTDC">
    <w:name w:val="TOC Heading"/>
    <w:basedOn w:val="Ttulo1"/>
    <w:next w:val="Normal"/>
    <w:uiPriority w:val="39"/>
    <w:unhideWhenUsed/>
    <w:qFormat/>
    <w:rsid w:val="003161FE"/>
    <w:pPr>
      <w:spacing w:before="240" w:after="0" w:line="259" w:lineRule="auto"/>
      <w:outlineLvl w:val="9"/>
    </w:pPr>
    <w:rPr>
      <w:sz w:val="32"/>
      <w:szCs w:val="32"/>
      <w:lang w:eastAsia="es-DO"/>
    </w:rPr>
  </w:style>
  <w:style w:type="paragraph" w:styleId="TDC1">
    <w:name w:val="toc 1"/>
    <w:basedOn w:val="Normal"/>
    <w:next w:val="Normal"/>
    <w:autoRedefine/>
    <w:uiPriority w:val="39"/>
    <w:unhideWhenUsed/>
    <w:rsid w:val="003161FE"/>
    <w:pPr>
      <w:spacing w:after="100"/>
    </w:pPr>
  </w:style>
  <w:style w:type="paragraph" w:styleId="TDC2">
    <w:name w:val="toc 2"/>
    <w:basedOn w:val="Normal"/>
    <w:next w:val="Normal"/>
    <w:autoRedefine/>
    <w:uiPriority w:val="39"/>
    <w:unhideWhenUsed/>
    <w:rsid w:val="003161FE"/>
    <w:pPr>
      <w:spacing w:after="100"/>
      <w:ind w:left="220"/>
    </w:pPr>
  </w:style>
  <w:style w:type="character" w:styleId="Hipervnculo">
    <w:name w:val="Hyperlink"/>
    <w:basedOn w:val="Fuentedeprrafopredeter"/>
    <w:uiPriority w:val="99"/>
    <w:unhideWhenUsed/>
    <w:rsid w:val="003161FE"/>
    <w:rPr>
      <w:color w:val="0563C1" w:themeColor="hyperlink"/>
      <w:u w:val="single"/>
    </w:rPr>
  </w:style>
  <w:style w:type="paragraph" w:styleId="Revisin">
    <w:name w:val="Revision"/>
    <w:hidden/>
    <w:uiPriority w:val="99"/>
    <w:semiHidden/>
    <w:rsid w:val="00F018AB"/>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file-server\PLANIFICACION\PPP\PPP%20-%20Seguimiento%20Plan%20Operativo%20Anual%20(POA)\2026\Informes%20de%20ejecuci&#243;n%20POA%202026\Informes%20POA%202026\Trimestre%20Enero-Marzo%202026\Cuadros%20y%20gr&#225;ficos%20informe%20POA%204to%20%20trimestr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'Cuadro resumen'!$B$22:$B$36</c:f>
              <c:strCache>
                <c:ptCount val="15"/>
                <c:pt idx="0">
                  <c:v>Dirección Agropecuaria, Normas y Tecnología Alimentaria</c:v>
                </c:pt>
                <c:pt idx="1">
                  <c:v>Dirección Administrativa Financiera</c:v>
                </c:pt>
                <c:pt idx="2">
                  <c:v>Departamento Jurídico</c:v>
                </c:pt>
                <c:pt idx="3">
                  <c:v>Departamento de Tecnologías de la Información y Comunicación</c:v>
                </c:pt>
                <c:pt idx="4">
                  <c:v>Dirección de Gestión de Programas</c:v>
                </c:pt>
                <c:pt idx="5">
                  <c:v>Dirección de Comercialización</c:v>
                </c:pt>
                <c:pt idx="6">
                  <c:v>Dirección de Recursos Humanos</c:v>
                </c:pt>
                <c:pt idx="7">
                  <c:v>Dirección de Planificación y Desarrollo</c:v>
                </c:pt>
                <c:pt idx="8">
                  <c:v>División de Protocolo</c:v>
                </c:pt>
                <c:pt idx="9">
                  <c:v>Departamento de Comunicaciones</c:v>
                </c:pt>
                <c:pt idx="10">
                  <c:v>Departamento de Libre Acceso a la Información</c:v>
                </c:pt>
                <c:pt idx="11">
                  <c:v>Departamento de Seguridad Militar</c:v>
                </c:pt>
                <c:pt idx="12">
                  <c:v>Departamento de Normas, Sistemas, Supervisión y Seguimiento</c:v>
                </c:pt>
                <c:pt idx="13">
                  <c:v>Dirección de Abastecimiento, Distribución y Logística</c:v>
                </c:pt>
                <c:pt idx="14">
                  <c:v>Dirección Ejecutiva</c:v>
                </c:pt>
              </c:strCache>
            </c:strRef>
          </c:cat>
          <c:val>
            <c:numRef>
              <c:f>'Cuadro resumen'!$C$22:$C$36</c:f>
              <c:numCache>
                <c:formatCode>0%</c:formatCode>
                <c:ptCount val="15"/>
                <c:pt idx="0">
                  <c:v>0.5</c:v>
                </c:pt>
                <c:pt idx="1">
                  <c:v>0.51</c:v>
                </c:pt>
                <c:pt idx="2">
                  <c:v>0.67</c:v>
                </c:pt>
                <c:pt idx="3">
                  <c:v>0.67</c:v>
                </c:pt>
                <c:pt idx="4">
                  <c:v>0.8</c:v>
                </c:pt>
                <c:pt idx="5">
                  <c:v>0.9</c:v>
                </c:pt>
                <c:pt idx="6">
                  <c:v>0.91</c:v>
                </c:pt>
                <c:pt idx="7">
                  <c:v>0.92</c:v>
                </c:pt>
                <c:pt idx="8">
                  <c:v>1</c:v>
                </c:pt>
                <c:pt idx="9">
                  <c:v>1</c:v>
                </c:pt>
                <c:pt idx="10">
                  <c:v>1</c:v>
                </c:pt>
                <c:pt idx="11">
                  <c:v>1</c:v>
                </c:pt>
                <c:pt idx="12">
                  <c:v>1</c:v>
                </c:pt>
                <c:pt idx="13">
                  <c:v>1</c:v>
                </c:pt>
                <c:pt idx="14">
                  <c:v>1</c:v>
                </c:pt>
              </c:numCache>
            </c:numRef>
          </c:val>
          <c:extLst>
            <c:ext xmlns:c16="http://schemas.microsoft.com/office/drawing/2014/chart" uri="{C3380CC4-5D6E-409C-BE32-E72D297353CC}">
              <c16:uniqueId val="{00000000-6B58-4A51-BBFC-B49FA2E9FA26}"/>
            </c:ext>
          </c:extLst>
        </c:ser>
        <c:dLbls>
          <c:showLegendKey val="0"/>
          <c:showVal val="0"/>
          <c:showCatName val="0"/>
          <c:showSerName val="0"/>
          <c:showPercent val="0"/>
          <c:showBubbleSize val="0"/>
        </c:dLbls>
        <c:gapWidth val="182"/>
        <c:axId val="1913226463"/>
        <c:axId val="1913222143"/>
      </c:barChart>
      <c:catAx>
        <c:axId val="19132264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2143"/>
        <c:crosses val="autoZero"/>
        <c:auto val="1"/>
        <c:lblAlgn val="l"/>
        <c:lblOffset val="100"/>
        <c:noMultiLvlLbl val="0"/>
      </c:catAx>
      <c:valAx>
        <c:axId val="191322214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9132264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37A8B-91F8-4DBD-B211-AA55A69DF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24</Pages>
  <Words>5455</Words>
  <Characters>30007</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INESPRE PLANIFICACION</dc:creator>
  <cp:keywords/>
  <dc:description/>
  <cp:lastModifiedBy>INESPRE PLANIFICACION</cp:lastModifiedBy>
  <cp:revision>20</cp:revision>
  <dcterms:created xsi:type="dcterms:W3CDTF">2026-04-10T14:43:00Z</dcterms:created>
  <dcterms:modified xsi:type="dcterms:W3CDTF">2026-04-14T12:34:00Z</dcterms:modified>
</cp:coreProperties>
</file>